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5925cde2ee4375"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2719d23d74ba3">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a9eebded992546ad">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858ab33d148db">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f911d18ce4f82">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ee65dd7bf0294e78">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b54d1f4cbf433a">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55928a507447ea">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b8e9352b34d94">
              <w:r>
                <w:rPr>
                  <w:rStyle w:val="Hyperlink"/>
                </w:rPr>
                <w:t xml:space="preserve">Hospital care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59f0b6f324788">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9d89b1d15377469b">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751c2bfd53409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7957710434ef0">
              <w:r>
                <w:rPr>
                  <w:rStyle w:val="Hyperlink"/>
                </w:rPr>
                <w:t xml:space="preserve">Hospital service—care type, code N[N]</w:t>
              </w:r>
            </w:hyperlink>
          </w:p>
          <w:p>
            <w:pPr>
              <w:pStyle w:val="registration-status"/>
              <w:spacing w:before="0" w:after="0"/>
            </w:pPr>
            <w:hyperlink w:history="true" r:id="R905b2e0897424820">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83226e5034cad">
              <w:r>
                <w:rPr>
                  <w:rStyle w:val="Hyperlink"/>
                </w:rPr>
                <w:t xml:space="preserve">Admitted patient care NMDS 2020–21</w:t>
              </w:r>
            </w:hyperlink>
          </w:p>
          <w:p>
            <w:pPr>
              <w:pStyle w:val="registration-status"/>
              <w:spacing w:before="0" w:after="0"/>
            </w:pPr>
            <w:hyperlink w:history="true" r:id="R87270658e52b4d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49a16a3984ae477e">
              <w:r>
                <w:rPr>
                  <w:rStyle w:val="Hyperlink"/>
                </w:rPr>
                <w:t xml:space="preserve">Admitted patient care NMDS 2021–22</w:t>
              </w:r>
            </w:hyperlink>
          </w:p>
          <w:p>
            <w:pPr>
              <w:pStyle w:val="registration-status"/>
              <w:spacing w:before="0" w:after="0"/>
            </w:pPr>
            <w:hyperlink w:history="true" r:id="R7069545b15414b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e411fb98850a46ef">
              <w:r>
                <w:rPr>
                  <w:rStyle w:val="Hyperlink"/>
                </w:rPr>
                <w:t xml:space="preserve">Admitted patient care NMDS 2022–23</w:t>
              </w:r>
            </w:hyperlink>
          </w:p>
          <w:p>
            <w:pPr>
              <w:pStyle w:val="registration-status"/>
              <w:spacing w:before="0" w:after="0"/>
            </w:pPr>
            <w:hyperlink w:history="true" r:id="R6810e09f00684af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fae57abece3459e">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1ab604c5f97e4f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34636031e484c7f">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9e4fc89319e40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d913be089044ce">
              <w:r>
                <w:rPr>
                  <w:rStyle w:val="Hyperlink"/>
                </w:rPr>
                <w:t xml:space="preserve">Number of myringotomy hospitalisations per 100,000 people aged 17 years and under, 2012-13, 2015-16 and 2017-18</w:t>
              </w:r>
            </w:hyperlink>
          </w:p>
          <w:p>
            <w:pPr>
              <w:pStyle w:val="registration-status"/>
              <w:spacing w:before="0" w:after="0"/>
            </w:pPr>
            <w:hyperlink w:history="true" r:id="R5e6102354dc04a7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5b2f4abe7745c9">
              <w:r>
                <w:rPr>
                  <w:rStyle w:val="Hyperlink"/>
                </w:rPr>
                <w:t xml:space="preserve">Number of myringotomy hospitalisations per 100,000 people aged 17 years and under, 2012-13, 2015-16 and 2017-18</w:t>
              </w:r>
            </w:hyperlink>
          </w:p>
          <w:p>
            <w:pPr>
              <w:pStyle w:val="registration-status"/>
              <w:spacing w:before="0" w:after="0"/>
            </w:pPr>
            <w:hyperlink w:history="true" r:id="R8867e009f3054b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c7c5f89e8b4d6e">
              <w:r>
                <w:rPr>
                  <w:rStyle w:val="Hyperlink"/>
                </w:rPr>
                <w:t xml:space="preserve">Number of myringotomy hospitalisations per 100,000 people aged 17 years and under, 2012-13, 2015-16 and 2017-18</w:t>
              </w:r>
            </w:hyperlink>
          </w:p>
          <w:p>
            <w:pPr>
              <w:pStyle w:val="registration-status"/>
              <w:spacing w:before="0" w:after="0"/>
            </w:pPr>
            <w:hyperlink w:history="true" r:id="Rc54a568a413340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9e4cc0ea184ce8">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9a064c18ba4f457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bb0c45aa0e34990">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c1f9a765415848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cf6f652ea84b0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deb032bd4efa4ed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fcb652aa01a4d1a">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dd508a026b7647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8d4259c03b248ed">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ee1bdf54aa71416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27af9b39e34450a">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a7e99d577f48477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dd3363a54f42a8">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7560efd897464d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4226eb26dc432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f9d1a607e36c46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ec4dadeee0483b">
              <w:r>
                <w:rPr>
                  <w:rStyle w:val="Hyperlink"/>
                </w:rPr>
                <w:t xml:space="preserve">Palliative Care and End-of-Life Care: PI 02-Average length of palliative care inpatient stay, 2021</w:t>
              </w:r>
            </w:hyperlink>
          </w:p>
          <w:p>
            <w:pPr>
              <w:pStyle w:val="registration-status"/>
              <w:spacing w:before="0" w:after="0"/>
            </w:pPr>
            <w:hyperlink w:history="true" r:id="R949be53ec0e44bd6">
              <w:r>
                <w:rPr>
                  <w:rStyle w:val="Hyperlink"/>
                  <w:color w:val="244061"/>
                </w:rPr>
                <w:t xml:space="preserve">Health!</w:t>
              </w:r>
            </w:hyperlink>
            <w:r>
              <w:rPr>
                <w:rStyle w:val="row-content"/>
                <w:color w:val="244061"/>
              </w:rPr>
              <w:t xml:space="preserve">, Qualified 21/10/2021</w:t>
            </w:r>
          </w:p>
          <w:p>
            <w:r>
              <w:br/>
            </w:r>
            <w:hyperlink w:history="true" r:id="R042dc9fdd61d4b32">
              <w:r>
                <w:rPr>
                  <w:rStyle w:val="Hyperlink"/>
                </w:rPr>
                <w:t xml:space="preserve">Palliative Care and End-of-Life Care: PI 02-Average length of palliative care inpatient stay, 2021</w:t>
              </w:r>
            </w:hyperlink>
          </w:p>
          <w:p>
            <w:pPr>
              <w:pStyle w:val="registration-status"/>
              <w:spacing w:before="0" w:after="0"/>
            </w:pPr>
            <w:hyperlink w:history="true" r:id="Ra6cacef0532142d5">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e711a2eb8c1a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58836a876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1a2eb8c1a42fc" /><Relationship Type="http://schemas.openxmlformats.org/officeDocument/2006/relationships/header" Target="/word/header1.xml" Id="R4b6738ebc4104ba1" /><Relationship Type="http://schemas.openxmlformats.org/officeDocument/2006/relationships/settings" Target="/word/settings.xml" Id="Ra2db7360d01841ea" /><Relationship Type="http://schemas.openxmlformats.org/officeDocument/2006/relationships/styles" Target="/word/styles.xml" Id="Rd958ce646307461a" /><Relationship Type="http://schemas.openxmlformats.org/officeDocument/2006/relationships/numbering" Target="/word/numbering.xml" Id="R6cf1a55e959048f7" /><Relationship Type="http://schemas.openxmlformats.org/officeDocument/2006/relationships/hyperlink" Target="https://meteor-uat.aihw.gov.au/RegistrationAuthority/14" TargetMode="External" Id="R7a92719d23d74ba3" /><Relationship Type="http://schemas.openxmlformats.org/officeDocument/2006/relationships/hyperlink" Target="https://meteor-uat.aihw.gov.au/content/711000" TargetMode="External" Id="Ra9eebded992546ad" /><Relationship Type="http://schemas.openxmlformats.org/officeDocument/2006/relationships/hyperlink" Target="https://meteor-uat.aihw.gov.au/content/713748" TargetMode="External" Id="R948858ab33d148db" /><Relationship Type="http://schemas.openxmlformats.org/officeDocument/2006/relationships/hyperlink" Target="https://meteor-uat.aihw.gov.au/RegistrationAuthority/14" TargetMode="External" Id="R0e5f911d18ce4f82" /><Relationship Type="http://schemas.openxmlformats.org/officeDocument/2006/relationships/hyperlink" Target="https://meteor-uat.aihw.gov.au/content/711000" TargetMode="External" Id="Ree65dd7bf0294e78" /><Relationship Type="http://schemas.openxmlformats.org/officeDocument/2006/relationships/hyperlink" Target="https://meteor-uat.aihw.gov.au/content/269008" TargetMode="External" Id="R75b54d1f4cbf433a" /><Relationship Type="http://schemas.openxmlformats.org/officeDocument/2006/relationships/hyperlink" Target="https://meteor-uat.aihw.gov.au/content/269177" TargetMode="External" Id="R6b55928a507447ea" /><Relationship Type="http://schemas.openxmlformats.org/officeDocument/2006/relationships/hyperlink" Target="https://meteor-uat.aihw.gov.au/content/713701" TargetMode="External" Id="R9d3b8e9352b34d94" /><Relationship Type="http://schemas.openxmlformats.org/officeDocument/2006/relationships/hyperlink" Target="https://meteor-uat.aihw.gov.au/RegistrationAuthority/14" TargetMode="External" Id="Rcfb59f0b6f324788" /><Relationship Type="http://schemas.openxmlformats.org/officeDocument/2006/relationships/hyperlink" Target="https://meteor-uat.aihw.gov.au/content/327254" TargetMode="External" Id="R9d89b1d15377469b" /><Relationship Type="http://schemas.openxmlformats.org/officeDocument/2006/relationships/hyperlink" Target="https://meteor-uat.aihw.gov.au/content/246013" TargetMode="External" Id="R05751c2bfd53409a" /><Relationship Type="http://schemas.openxmlformats.org/officeDocument/2006/relationships/hyperlink" Target="https://meteor-uat.aihw.gov.au/content/584408" TargetMode="External" Id="R8ae7957710434ef0" /><Relationship Type="http://schemas.openxmlformats.org/officeDocument/2006/relationships/hyperlink" Target="https://meteor-uat.aihw.gov.au/RegistrationAuthority/14" TargetMode="External" Id="R905b2e0897424820" /><Relationship Type="http://schemas.openxmlformats.org/officeDocument/2006/relationships/hyperlink" Target="https://meteor-uat.aihw.gov.au/content/713850" TargetMode="External" Id="R94983226e5034cad" /><Relationship Type="http://schemas.openxmlformats.org/officeDocument/2006/relationships/hyperlink" Target="https://meteor-uat.aihw.gov.au/RegistrationAuthority/14" TargetMode="External" Id="R87270658e52b4dfe" /><Relationship Type="http://schemas.openxmlformats.org/officeDocument/2006/relationships/hyperlink" Target="https://meteor-uat.aihw.gov.au/content/728439" TargetMode="External" Id="R49a16a3984ae477e" /><Relationship Type="http://schemas.openxmlformats.org/officeDocument/2006/relationships/hyperlink" Target="https://meteor-uat.aihw.gov.au/RegistrationAuthority/14" TargetMode="External" Id="R7069545b15414b06" /><Relationship Type="http://schemas.openxmlformats.org/officeDocument/2006/relationships/hyperlink" Target="https://meteor-uat.aihw.gov.au/content/742173" TargetMode="External" Id="Re411fb98850a46ef" /><Relationship Type="http://schemas.openxmlformats.org/officeDocument/2006/relationships/hyperlink" Target="https://meteor-uat.aihw.gov.au/RegistrationAuthority/14" TargetMode="External" Id="R6810e09f00684afe" /><Relationship Type="http://schemas.openxmlformats.org/officeDocument/2006/relationships/hyperlink" Target="https://meteor-uat.aihw.gov.au/content/724433" TargetMode="External" Id="R5fae57abece3459e" /><Relationship Type="http://schemas.openxmlformats.org/officeDocument/2006/relationships/hyperlink" Target="https://meteor-uat.aihw.gov.au/RegistrationAuthority/2" TargetMode="External" Id="R1ab604c5f97e4f3e" /><Relationship Type="http://schemas.openxmlformats.org/officeDocument/2006/relationships/hyperlink" Target="https://meteor-uat.aihw.gov.au/content/724443" TargetMode="External" Id="Re34636031e484c7f" /><Relationship Type="http://schemas.openxmlformats.org/officeDocument/2006/relationships/hyperlink" Target="https://meteor-uat.aihw.gov.au/RegistrationAuthority/2" TargetMode="External" Id="R59e4fc89319e40cd" /><Relationship Type="http://schemas.openxmlformats.org/officeDocument/2006/relationships/hyperlink" Target="https://meteor-uat.aihw.gov.au/content/725734" TargetMode="External" Id="R78d913be089044ce" /><Relationship Type="http://schemas.openxmlformats.org/officeDocument/2006/relationships/hyperlink" Target="https://meteor-uat.aihw.gov.au/RegistrationAuthority/2" TargetMode="External" Id="R5e6102354dc04a7e" /><Relationship Type="http://schemas.openxmlformats.org/officeDocument/2006/relationships/hyperlink" Target="https://meteor-uat.aihw.gov.au/content/725734" TargetMode="External" Id="Re25b2f4abe7745c9" /><Relationship Type="http://schemas.openxmlformats.org/officeDocument/2006/relationships/hyperlink" Target="https://meteor-uat.aihw.gov.au/RegistrationAuthority/2" TargetMode="External" Id="R8867e009f3054b55" /><Relationship Type="http://schemas.openxmlformats.org/officeDocument/2006/relationships/hyperlink" Target="https://meteor-uat.aihw.gov.au/content/725734" TargetMode="External" Id="R16c7c5f89e8b4d6e" /><Relationship Type="http://schemas.openxmlformats.org/officeDocument/2006/relationships/hyperlink" Target="https://meteor-uat.aihw.gov.au/RegistrationAuthority/2" TargetMode="External" Id="Rc54a568a41334036" /><Relationship Type="http://schemas.openxmlformats.org/officeDocument/2006/relationships/hyperlink" Target="https://meteor-uat.aihw.gov.au/content/724500" TargetMode="External" Id="R929e4cc0ea184ce8" /><Relationship Type="http://schemas.openxmlformats.org/officeDocument/2006/relationships/hyperlink" Target="https://meteor-uat.aihw.gov.au/RegistrationAuthority/2" TargetMode="External" Id="R9a064c18ba4f4575" /><Relationship Type="http://schemas.openxmlformats.org/officeDocument/2006/relationships/hyperlink" Target="https://meteor-uat.aihw.gov.au/content/724575" TargetMode="External" Id="R0bb0c45aa0e34990" /><Relationship Type="http://schemas.openxmlformats.org/officeDocument/2006/relationships/hyperlink" Target="https://meteor-uat.aihw.gov.au/RegistrationAuthority/2" TargetMode="External" Id="Rc1f9a76541584840" /><Relationship Type="http://schemas.openxmlformats.org/officeDocument/2006/relationships/hyperlink" Target="https://meteor-uat.aihw.gov.au/content/724543" TargetMode="External" Id="Ra5cf6f652ea84b0b" /><Relationship Type="http://schemas.openxmlformats.org/officeDocument/2006/relationships/hyperlink" Target="https://meteor-uat.aihw.gov.au/RegistrationAuthority/2" TargetMode="External" Id="Rdeb032bd4efa4ed2" /><Relationship Type="http://schemas.openxmlformats.org/officeDocument/2006/relationships/hyperlink" Target="https://meteor-uat.aihw.gov.au/content/724516" TargetMode="External" Id="Rbfcb652aa01a4d1a" /><Relationship Type="http://schemas.openxmlformats.org/officeDocument/2006/relationships/hyperlink" Target="https://meteor-uat.aihw.gov.au/RegistrationAuthority/2" TargetMode="External" Id="Rdd508a026b7647b4" /><Relationship Type="http://schemas.openxmlformats.org/officeDocument/2006/relationships/hyperlink" Target="https://meteor-uat.aihw.gov.au/content/724486" TargetMode="External" Id="R98d4259c03b248ed" /><Relationship Type="http://schemas.openxmlformats.org/officeDocument/2006/relationships/hyperlink" Target="https://meteor-uat.aihw.gov.au/RegistrationAuthority/2" TargetMode="External" Id="Ree1bdf54aa71416b" /><Relationship Type="http://schemas.openxmlformats.org/officeDocument/2006/relationships/hyperlink" Target="https://meteor-uat.aihw.gov.au/content/723655" TargetMode="External" Id="R827af9b39e34450a" /><Relationship Type="http://schemas.openxmlformats.org/officeDocument/2006/relationships/hyperlink" Target="https://meteor-uat.aihw.gov.au/RegistrationAuthority/2" TargetMode="External" Id="Ra7e99d577f484778" /><Relationship Type="http://schemas.openxmlformats.org/officeDocument/2006/relationships/hyperlink" Target="https://meteor-uat.aihw.gov.au/content/723655" TargetMode="External" Id="R17dd3363a54f42a8" /><Relationship Type="http://schemas.openxmlformats.org/officeDocument/2006/relationships/hyperlink" Target="https://meteor-uat.aihw.gov.au/RegistrationAuthority/2" TargetMode="External" Id="R7560efd897464da7" /><Relationship Type="http://schemas.openxmlformats.org/officeDocument/2006/relationships/hyperlink" Target="https://meteor-uat.aihw.gov.au/content/723655" TargetMode="External" Id="Reb4226eb26dc4324" /><Relationship Type="http://schemas.openxmlformats.org/officeDocument/2006/relationships/hyperlink" Target="https://meteor-uat.aihw.gov.au/RegistrationAuthority/2" TargetMode="External" Id="Rf9d1a607e36c4646" /><Relationship Type="http://schemas.openxmlformats.org/officeDocument/2006/relationships/hyperlink" Target="https://meteor-uat.aihw.gov.au/content/742659" TargetMode="External" Id="Rafec4dadeee0483b" /><Relationship Type="http://schemas.openxmlformats.org/officeDocument/2006/relationships/hyperlink" Target="https://meteor-uat.aihw.gov.au/RegistrationAuthority/14" TargetMode="External" Id="R949be53ec0e44bd6" /><Relationship Type="http://schemas.openxmlformats.org/officeDocument/2006/relationships/hyperlink" Target="https://meteor-uat.aihw.gov.au/content/742659" TargetMode="External" Id="R042dc9fdd61d4b32" /><Relationship Type="http://schemas.openxmlformats.org/officeDocument/2006/relationships/hyperlink" Target="https://meteor-uat.aihw.gov.au/RegistrationAuthority/14" TargetMode="External" Id="Ra6cacef0532142d5" /></Relationships>
</file>

<file path=word/_rels/header1.xml.rels>&#65279;<?xml version="1.0" encoding="utf-8"?><Relationships xmlns="http://schemas.openxmlformats.org/package/2006/relationships"><Relationship Type="http://schemas.openxmlformats.org/officeDocument/2006/relationships/image" Target="/media/image.png" Id="Ra8b58836a876409b" /></Relationships>
</file>