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124b2e92f04614"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11J – Pre-admission community mental health care,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11J – Pre-admission community mental health care,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11J: Pre-admission community mental health care,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5a1a62ca594ae9">
              <w:r>
                <w:rPr>
                  <w:rStyle w:val="Hyperlink"/>
                  <w:color w:val="244061"/>
                </w:rPr>
                <w:t xml:space="preserve">Health!</w:t>
              </w:r>
            </w:hyperlink>
            <w:r>
              <w:rPr>
                <w:rStyle w:val="row-content"/>
                <w:color w:val="244061"/>
              </w:rPr>
              <w:t xml:space="preserve">, Superseded 16/02/2021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a89cc8315fed48b3">
              <w:r>
                <w:rPr>
                  <w:rStyle w:val="Hyperlink"/>
                  <w:b/>
                </w:rPr>
                <w:t xml:space="preserve">admissions</w:t>
              </w:r>
            </w:hyperlink>
            <w:r>
              <w:rPr>
                <w:rStyle w:val="row-content-rich-text"/>
              </w:rPr>
              <w:t xml:space="preserve"> to state/territory public acute admitted patient mental health care service unit(s) for which a community mental health service contact, in which the consumer participated, was recorded in the 7 days immediately preceding that admission.</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Pre-admission community mental health care</w:t>
            </w:r>
            <w:r>
              <w:rPr>
                <w:rStyle w:val="row-content-rich-text"/>
              </w:rPr>
              <w:t xml:space="preserve">, </w:t>
            </w:r>
            <w:r>
              <w:rPr>
                <w:rStyle w:val="row-content-rich-text"/>
                <w:i/>
              </w:rPr>
              <w:t xml:space="preserve">2019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To monitor the continuity/accessibility of care via the extent to which public sector community mental health services are involved with consumers prior to the admission to hospital to:</w:t>
            </w:r>
            <w:r>
              <w:br/>
            </w:r>
            <w:r>
              <w:rPr>
                <w:rStyle w:val="row-content-rich-text"/>
              </w:rPr>
              <w:t xml:space="preserve">* support and alleviate distress during a period of great turmoil</w:t>
            </w:r>
            <w:r>
              <w:br/>
            </w:r>
            <w:r>
              <w:rPr>
                <w:rStyle w:val="row-content-rich-text"/>
              </w:rPr>
              <w:t xml:space="preserve">* relieve carer burden</w:t>
            </w:r>
            <w:r>
              <w:br/>
            </w:r>
            <w:r>
              <w:rPr>
                <w:rStyle w:val="row-content-rich-text"/>
              </w:rPr>
              <w:t xml:space="preserve">* avert hospital admission where possible</w:t>
            </w:r>
            <w:r>
              <w:br/>
            </w:r>
            <w:r>
              <w:rPr>
                <w:rStyle w:val="row-content-rich-text"/>
              </w:rPr>
              <w:t xml:space="preserve">* ensure that admission is the most appropriate treatment option</w:t>
            </w:r>
            <w:r>
              <w:br/>
            </w:r>
            <w:r>
              <w:rPr>
                <w:rStyle w:val="row-content-rich-text"/>
              </w:rPr>
              <w:t xml:space="preserve">* commence treatment of the patient as soon possible where admission may not be averted.</w:t>
            </w:r>
          </w:p>
          <w:p>
            <w:pPr>
              <w:pStyle w:val="ListParagraph"/>
              <w:numPr>
                <w:ilvl w:val="0"/>
                <w:numId w:val="2"/>
              </w:numPr>
            </w:pPr>
            <w:r>
              <w:rPr>
                <w:rStyle w:val="row-content-rich-text"/>
              </w:rPr>
              <w:t xml:space="preserve">The majority of consumers admitted to state/territory public acute admitted patient mental health care service units are known to public sector community mental health services and it is reasonable to expect community teams should be involved in pre-admission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8c9f8c43e034fa0">
              <w:r>
                <w:rPr>
                  <w:rStyle w:val="Hyperlink"/>
                </w:rPr>
                <w:t xml:space="preserve">Key Performance Indicators for Australian Public Mental Health Services (Jurisdictional level version) (2019)</w:t>
              </w:r>
            </w:hyperlink>
          </w:p>
          <w:p>
            <w:pPr>
              <w:pStyle w:val="registration-status"/>
              <w:spacing w:before="0" w:after="0"/>
            </w:pPr>
            <w:hyperlink w:history="true" r:id="R03648f8f5e054237">
              <w:r>
                <w:rPr>
                  <w:rStyle w:val="Hyperlink"/>
                  <w:color w:val="244061"/>
                </w:rPr>
                <w:t xml:space="preserve">Health!</w:t>
              </w:r>
            </w:hyperlink>
            <w:r>
              <w:rPr>
                <w:rStyle w:val="row-content"/>
                <w:color w:val="244061"/>
              </w:rPr>
              <w:t xml:space="preserve">, Superseded 16/02/2021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 in scope for reporting as defined by the Mental Health Establishments National Minimum Data Set (NMDS) (admissions data).</w:t>
            </w:r>
          </w:p>
          <w:p>
            <w:pPr>
              <w:spacing w:after="160"/>
            </w:pPr>
            <w:r>
              <w:rPr>
                <w:rStyle w:val="row-content-rich-text"/>
              </w:rPr>
              <w:t xml:space="preserve">State/territory specialised community mental health care service unit(s) in scope for reporting as defined by the Community Mental Health Care NMDS (pre-admission community contact data).</w:t>
            </w:r>
          </w:p>
          <w:p>
            <w:pPr>
              <w:spacing w:after="160"/>
            </w:pPr>
            <w:r>
              <w:rPr>
                <w:rStyle w:val="row-content-rich-text"/>
              </w:rPr>
              <w:t xml:space="preserve">The following admissions are excluded:</w:t>
            </w:r>
          </w:p>
          <w:p>
            <w:pPr>
              <w:pStyle w:val="ListParagraph"/>
              <w:numPr>
                <w:ilvl w:val="0"/>
                <w:numId w:val="3"/>
              </w:numPr>
            </w:pPr>
            <w:r>
              <w:rPr>
                <w:rStyle w:val="row-content-rich-text"/>
              </w:rPr>
              <w:t xml:space="preserve">same-day admissions</w:t>
            </w:r>
          </w:p>
          <w:p>
            <w:pPr>
              <w:pStyle w:val="ListParagraph"/>
              <w:numPr>
                <w:ilvl w:val="0"/>
                <w:numId w:val="3"/>
              </w:numPr>
            </w:pPr>
            <w:r>
              <w:rPr>
                <w:rStyle w:val="row-content-rich-text"/>
              </w:rPr>
              <w:t xml:space="preserve">statistical and change of care type admissions</w:t>
            </w:r>
          </w:p>
          <w:p>
            <w:pPr>
              <w:pStyle w:val="ListParagraph"/>
              <w:numPr>
                <w:ilvl w:val="0"/>
                <w:numId w:val="3"/>
              </w:numPr>
            </w:pPr>
            <w:r>
              <w:rPr>
                <w:rStyle w:val="row-content-rich-text"/>
              </w:rPr>
              <w:t xml:space="preserve">admissions by transfer from another acute or psychiatric inpatient hospital</w:t>
            </w:r>
          </w:p>
          <w:p>
            <w:pPr>
              <w:pStyle w:val="ListParagraph"/>
              <w:numPr>
                <w:ilvl w:val="0"/>
                <w:numId w:val="3"/>
              </w:numPr>
            </w:pPr>
            <w:r>
              <w:rPr>
                <w:rStyle w:val="row-content-rich-text"/>
              </w:rPr>
              <w:t xml:space="preserve">admissions by transfer from a residential mental health care service</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spacing w:after="160"/>
            </w:pPr>
            <w:r>
              <w:rPr>
                <w:rStyle w:val="row-content-rich-text"/>
              </w:rPr>
              <w:t xml:space="preserve">The following community mental health service contacts are excluded:</w:t>
            </w:r>
          </w:p>
          <w:p>
            <w:pPr>
              <w:pStyle w:val="ListParagraph"/>
              <w:numPr>
                <w:ilvl w:val="0"/>
                <w:numId w:val="4"/>
              </w:numPr>
            </w:pPr>
            <w:r>
              <w:rPr>
                <w:rStyle w:val="row-content-rich-text"/>
              </w:rPr>
              <w:t xml:space="preserve">service contacts on the day of admission</w:t>
            </w:r>
          </w:p>
          <w:p>
            <w:pPr>
              <w:pStyle w:val="ListParagraph"/>
              <w:numPr>
                <w:ilvl w:val="0"/>
                <w:numId w:val="4"/>
              </w:numPr>
            </w:pPr>
            <w:r>
              <w:rPr>
                <w:rStyle w:val="row-content-rich-text"/>
              </w:rPr>
              <w:t xml:space="preserve">contacts where a consumer does not participate.</w:t>
            </w:r>
          </w:p>
          <w:p>
            <w:pPr>
              <w:spacing w:after="160"/>
            </w:pPr>
            <w:r>
              <w:rPr>
                <w:rStyle w:val="row-content-rich-text"/>
              </w:rPr>
              <w:t xml:space="preserve">Service contacts can be provided by any community mental health care service within the state/territory.</w:t>
            </w:r>
          </w:p>
          <w:p>
            <w:pPr>
              <w:spacing w:after="160"/>
            </w:pPr>
            <w:r>
              <w:rPr>
                <w:rStyle w:val="row-content-rich-text"/>
              </w:rPr>
              <w:t xml:space="preserve">Methodology:</w:t>
            </w:r>
          </w:p>
          <w:p>
            <w:pPr>
              <w:spacing w:after="160"/>
            </w:pPr>
            <w:r>
              <w:rPr>
                <w:rStyle w:val="row-content-rich-text"/>
              </w:rPr>
              <w:t xml:space="preserve">Reference period for 2019 performance reporting: 2017–18</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specialised mental health admitted patient service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All acute admitted mental health service units reporting to the Mental Health Establishments NMDS are in scope for this indicator, including short-stay units and emergency acute mental health admitted units.</w:t>
            </w:r>
          </w:p>
          <w:p>
            <w:pPr>
              <w:pStyle w:val="ListParagraph"/>
              <w:numPr>
                <w:ilvl w:val="0"/>
                <w:numId w:val="5"/>
              </w:numPr>
            </w:pPr>
            <w:r>
              <w:rPr>
                <w:rStyle w:val="row-content-rich-text"/>
              </w:rPr>
              <w:t xml:space="preserve">One of the following Australian Classification of Health Interventions (ACHI) ECT procedure codes are recorded:</w:t>
            </w:r>
            <w:r>
              <w:br/>
            </w:r>
            <w:r>
              <w:rPr>
                <w:rStyle w:val="row-content-rich-text"/>
              </w:rPr>
              <w:t xml:space="preserve">* ACHI 5th edition use procedure codes 93340-02 and 93340-03.</w:t>
            </w:r>
            <w:r>
              <w:br/>
            </w:r>
            <w:r>
              <w:rPr>
                <w:rStyle w:val="row-content-rich-text"/>
              </w:rPr>
              <w:t xml:space="preserve">* ACHI 6th to 9th editions use procedure codes 93341-00 to 93341-99.</w:t>
            </w:r>
            <w:r>
              <w:br/>
            </w:r>
            <w:r>
              <w:rPr>
                <w:rStyle w:val="row-content-rich-text"/>
              </w:rPr>
              <w:t xml:space="preserve">* ACHI 10th edition use procedure codes 14224-00 to 14224-06.</w:t>
            </w:r>
            <w:r>
              <w:br/>
            </w:r>
            <w:r>
              <w:rPr>
                <w:rStyle w:val="row-content-rich-text"/>
              </w:rPr>
              <w:t xml:space="preserve">* ACHI 5th to 10th editions ECT Block 1907 may be selected to capture all data regardless of code changes over time.</w:t>
            </w:r>
          </w:p>
          <w:p>
            <w:pPr/>
            <w:r>
              <w:rPr>
                <w:rStyle w:val="row-content-rich-text"/>
              </w:rPr>
              <w:t xml:space="preserve">Different results for the 7-day pre-admission community care indicator will be achieved depending on whether the indicator is based on organisation-level or state-level analysis. The key difference between the two approaches concerns whether pre-admission community care is regarded to have occurred only when the person is seen by the discharging organisation, or by any public mental health service within the jurisdiction. The preferred approach is for state-level analysis to be used, and for contacts provided by any public mental health service to be counted. This will depend however, on the capacity of jurisdictions to track service use across multiple service organisation providers and will not be possible for all jurisdictions, the details of which are explored in the data quality statement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state/territory public acute admitted patient mental health care service unit(s) for which a community mental health service contact, in which the consumer participated, was recorded in the 7 days immediately preceding that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admissions in which there was a community mental health service contact recorded 7 days preceding an admission</w:t>
            </w:r>
          </w:p>
          <w:p>
            <w:r>
              <w:rPr>
                <w:rStyle w:val="row-content"/>
                <w:b/>
              </w:rPr>
              <w:t xml:space="preserve">Data Sources</w:t>
            </w:r>
          </w:p>
          <w:p>
            <w:hyperlink w:history="true" r:id="R9448f883151a47c5">
              <w:r>
                <w:rPr>
                  <w:rStyle w:val="Hyperlink"/>
                </w:rPr>
                <w:t xml:space="preserve">State/territory community mental health care data </w:t>
              </w:r>
            </w:hyperlink>
            <w:r>
              <w:rPr>
                <w:rStyle w:val="row-content"/>
              </w:rPr>
              <w:t xml:space="preserve">2017–18</w:t>
            </w:r>
          </w:p>
          <w:p>
            <w:hyperlink w:history="true" r:id="R665449b3aa0543ad">
              <w:r>
                <w:rPr>
                  <w:rStyle w:val="Hyperlink"/>
                </w:rPr>
                <w:t xml:space="preserve">State/territory admitted patient data</w:t>
              </w:r>
            </w:hyperlink>
            <w:r>
              <w:rPr>
                <w:rStyle w:val="row-content"/>
              </w:rPr>
              <w:t xml:space="preserve">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admissions</w:t>
            </w:r>
          </w:p>
          <w:p>
            <w:r>
              <w:rPr>
                <w:rStyle w:val="row-content"/>
                <w:b/>
                <w:sz w:val="20"/>
              </w:rPr>
              <w:t xml:space="preserve">Data Source</w:t>
            </w:r>
          </w:p>
          <w:p>
            <w:hyperlink w:history="true" r:id="R3a960dad5acc4597">
              <w:r>
                <w:rPr>
                  <w:rStyle w:val="Hyperlink"/>
                </w:rPr>
                <w:t xml:space="preserve">State/territory admitted patient data</w:t>
              </w:r>
            </w:hyperlink>
            <w:r>
              <w:rPr>
                <w:rStyle w:val="row-content"/>
              </w:rPr>
              <w:t xml:space="preserve">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remoteness, Indigenous status.</w:t>
            </w:r>
          </w:p>
          <w:p>
            <w:pPr>
              <w:spacing w:after="160"/>
            </w:pPr>
            <w:r>
              <w:rPr>
                <w:rStyle w:val="row-content-rich-text"/>
              </w:rPr>
              <w:t xml:space="preserve">Disaggregated data excludes missing or not reported data.</w:t>
            </w:r>
          </w:p>
          <w:p>
            <w:pPr/>
            <w:r>
              <w:rPr>
                <w:rStyle w:val="row-content-rich-text"/>
              </w:rPr>
              <w:t xml:space="preserve">All disaggregation data are to be calculated as at admission to the admitted mental health care service unit, even if the value is null.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Address—statistical area level 2 (SA2) code</w:t>
            </w:r>
          </w:p>
          <w:p>
            <w:r>
              <w:rPr>
                <w:rStyle w:val="row-content"/>
                <w:b/>
                <w:sz w:val="20"/>
              </w:rPr>
              <w:t xml:space="preserve">Da</w:t>
            </w:r>
            <w:r>
              <w:rPr>
                <w:rStyle w:val="row-content"/>
                <w:b/>
                <w:sz w:val="20"/>
              </w:rPr>
              <w:t xml:space="preserve">ta Source</w:t>
            </w:r>
          </w:p>
          <w:p>
            <w:hyperlink w:history="true" r:id="R7cdd7b6dafae4365">
              <w:r>
                <w:rPr>
                  <w:rStyle w:val="Hyperlink"/>
                </w:rPr>
                <w:t xml:space="preserve">State/territory admitted patient data</w:t>
              </w:r>
            </w:hyperlink>
            <w:r>
              <w:rPr>
                <w:rStyle w:val="row-content"/>
              </w:rPr>
              <w:t xml:space="preserve"> 2017–18</w:t>
            </w:r>
          </w:p>
          <w:p>
            <w:r>
              <w:rPr>
                <w:rStyle w:val="row-content"/>
              </w:rPr>
              <w:t xml:space="preserve"> </w:t>
            </w:r>
          </w:p>
          <w:p>
            <w:r>
              <w:rPr>
                <w:rStyle w:val="row-content"/>
                <w:b/>
              </w:rPr>
              <w:t xml:space="preserve">Guide for use</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617b0dc9978f47f1">
              <w:r>
                <w:rPr>
                  <w:rStyle w:val="Hyperlink"/>
                </w:rPr>
                <w:t xml:space="preserve">State/territory admitted patient data</w:t>
              </w:r>
            </w:hyperlink>
            <w:r>
              <w:rPr>
                <w:rStyle w:val="row-content"/>
              </w:rPr>
              <w:t xml:space="preserve"> 2017–18</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5367703096ef42d0">
              <w:r>
                <w:rPr>
                  <w:rStyle w:val="Hyperlink"/>
                </w:rPr>
                <w:t xml:space="preserve">State/territory admitted patient data</w:t>
              </w:r>
            </w:hyperlink>
            <w:r>
              <w:rPr>
                <w:rStyle w:val="row-content"/>
              </w:rPr>
              <w:t xml:space="preserve"> 2017–18</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c416902a2179447a">
              <w:r>
                <w:rPr>
                  <w:rStyle w:val="Hyperlink"/>
                </w:rPr>
                <w:t xml:space="preserve">State/territory admitted patient data </w:t>
              </w:r>
            </w:hyperlink>
            <w:r>
              <w:rPr>
                <w:rStyle w:val="row-content"/>
              </w:rPr>
              <w:t xml:space="preserve">2017–18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28e2a7cd8e9445d">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and Community Mental Health Care NMDSs because they do not share a common unique identifier that would allow persons admitted to hospital to be tracked in the community services data. Additionally, states and territories vary in the extent to which state-wide unique identifiers are in place to that would allow accurate tracking of persons who are seen by multiple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r>
              <w:rPr>
                <w:rStyle w:val="row-content-rich-text"/>
              </w:rPr>
              <w:t xml:space="preserve">Development of a system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admits the consumer to hospital care. Access to state-wide data is required to construct this indicator accurately.</w:t>
            </w:r>
            <w:r>
              <w:br/>
            </w:r>
          </w:p>
          <w:p>
            <w:pPr>
              <w:pStyle w:val="ListParagraph"/>
              <w:numPr>
                <w:ilvl w:val="0"/>
                <w:numId w:val="6"/>
              </w:numPr>
            </w:pPr>
            <w:r>
              <w:rPr>
                <w:rStyle w:val="row-content-rich-text"/>
              </w:rPr>
              <w:t xml:space="preserve">This measure does not consider variations in intensity or frequency of contacts prior to admission to hospital.</w:t>
            </w:r>
            <w:r>
              <w:br/>
            </w:r>
          </w:p>
          <w:p>
            <w:pPr>
              <w:pStyle w:val="ListParagraph"/>
              <w:numPr>
                <w:ilvl w:val="0"/>
                <w:numId w:val="6"/>
              </w:numPr>
            </w:pPr>
            <w:r>
              <w:rPr>
                <w:rStyle w:val="row-content-rich-text"/>
              </w:rPr>
              <w:t xml:space="preserve">This measure does not distinguish qualitative differences between phone and face‐to‐face community contacts.</w:t>
            </w:r>
            <w:r>
              <w:br/>
            </w:r>
          </w:p>
          <w:p>
            <w:pPr/>
            <w:r>
              <w:rPr>
                <w:rStyle w:val="row-content-rich-text"/>
              </w:rPr>
              <w:t xml:space="preserve">When data for this indicator are requested, jurisdictions are required to answer 'yes' or 'no' to the question "Seven day pre-admission contact based on tracking pre-admission service contacts across all state/territory public mental health services?". A 'yes' response implies that a state-wide unique client identifier system is in place, or some comparable approach has been used in the data analysis to allow tracking of service utilisation by an individual consumer across all public mental health services in the jurisdiction. Collection of this information is aimed at assessing the degree of consistency between jurisdictions in data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f39b62a0284ba6">
              <w:r>
                <w:rPr>
                  <w:rStyle w:val="Hyperlink"/>
                </w:rPr>
                <w:t xml:space="preserve">KPIs for Australian Public Mental Health Services: PI 11J – Pre-admission community mental health care, 2018</w:t>
              </w:r>
            </w:hyperlink>
          </w:p>
          <w:p>
            <w:pPr>
              <w:pStyle w:val="registration-status"/>
              <w:spacing w:before="0" w:after="0"/>
            </w:pPr>
            <w:hyperlink w:history="true" r:id="R9007aa4a84404825">
              <w:r>
                <w:rPr>
                  <w:rStyle w:val="Hyperlink"/>
                  <w:color w:val="244061"/>
                </w:rPr>
                <w:t xml:space="preserve">Health!</w:t>
              </w:r>
            </w:hyperlink>
            <w:r>
              <w:rPr>
                <w:rStyle w:val="row-content"/>
                <w:color w:val="244061"/>
              </w:rPr>
              <w:t xml:space="preserve">, Superseded 16/02/2021</w:t>
            </w:r>
          </w:p>
          <w:p>
            <w:r>
              <w:br/>
            </w:r>
            <w:r>
              <w:rPr>
                <w:rStyle w:val="row-content"/>
              </w:rPr>
              <w:t xml:space="preserve">Has been superseded by </w:t>
            </w:r>
            <w:hyperlink w:history="true" r:id="R612fe4cc28a449d1">
              <w:r>
                <w:rPr>
                  <w:rStyle w:val="Hyperlink"/>
                </w:rPr>
                <w:t xml:space="preserve">KPIs for Australian Public Mental Health Services: PI 11J – Admission preceded by community mental health care, 2020</w:t>
              </w:r>
            </w:hyperlink>
          </w:p>
          <w:p>
            <w:pPr>
              <w:pStyle w:val="registration-status"/>
              <w:spacing w:before="0" w:after="0"/>
            </w:pPr>
            <w:hyperlink w:history="true" r:id="R1d5a00ce1eed46ec">
              <w:r>
                <w:rPr>
                  <w:rStyle w:val="Hyperlink"/>
                  <w:color w:val="244061"/>
                </w:rPr>
                <w:t xml:space="preserve">Health!</w:t>
              </w:r>
            </w:hyperlink>
            <w:r>
              <w:rPr>
                <w:rStyle w:val="row-content"/>
                <w:color w:val="244061"/>
              </w:rPr>
              <w:t xml:space="preserve">, Standard 13/01/2021</w:t>
            </w:r>
          </w:p>
          <w:p>
            <w:r>
              <w:br/>
            </w:r>
          </w:p>
        </w:tc>
      </w:tr>
    </w:tbl>
    <w:p>
      <w:r>
        <w:br/>
      </w:r>
    </w:p>
    <w:sectPr>
      <w:footerReference xmlns:r="http://schemas.openxmlformats.org/officeDocument/2006/relationships" w:type="default" r:id="R99bd7058ee8046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709384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81abeb0d7b45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bd7058ee8046fe" /><Relationship Type="http://schemas.openxmlformats.org/officeDocument/2006/relationships/header" Target="/word/header1.xml" Id="R166284bd80734bed" /><Relationship Type="http://schemas.openxmlformats.org/officeDocument/2006/relationships/settings" Target="/word/settings.xml" Id="R89c48dc2fb824fb9" /><Relationship Type="http://schemas.openxmlformats.org/officeDocument/2006/relationships/styles" Target="/word/styles.xml" Id="Rf9c80b1a3e0843b1" /><Relationship Type="http://schemas.openxmlformats.org/officeDocument/2006/relationships/numbering" Target="/word/numbering.xml" Id="R61471ef442be4b49" /><Relationship Type="http://schemas.openxmlformats.org/officeDocument/2006/relationships/hyperlink" Target="https://meteor-uat.aihw.gov.au/RegistrationAuthority/14" TargetMode="External" Id="Ra15a1a62ca594ae9" /><Relationship Type="http://schemas.openxmlformats.org/officeDocument/2006/relationships/hyperlink" Target="https://meteor-uat.aihw.gov.au/content/327206" TargetMode="External" Id="Ra89cc8315fed48b3" /><Relationship Type="http://schemas.openxmlformats.org/officeDocument/2006/relationships/hyperlink" Target="https://meteor-uat.aihw.gov.au/content/709378" TargetMode="External" Id="Rb8c9f8c43e034fa0" /><Relationship Type="http://schemas.openxmlformats.org/officeDocument/2006/relationships/hyperlink" Target="https://meteor-uat.aihw.gov.au/RegistrationAuthority/14" TargetMode="External" Id="R03648f8f5e054237" /><Relationship Type="http://schemas.openxmlformats.org/officeDocument/2006/relationships/hyperlink" Target="https://meteor-uat.aihw.gov.au/content/402135" TargetMode="External" Id="R9448f883151a47c5" /><Relationship Type="http://schemas.openxmlformats.org/officeDocument/2006/relationships/hyperlink" Target="https://meteor-uat.aihw.gov.au/content/426458" TargetMode="External" Id="R665449b3aa0543ad" /><Relationship Type="http://schemas.openxmlformats.org/officeDocument/2006/relationships/hyperlink" Target="https://meteor-uat.aihw.gov.au/content/426458" TargetMode="External" Id="R3a960dad5acc4597" /><Relationship Type="http://schemas.openxmlformats.org/officeDocument/2006/relationships/hyperlink" Target="https://meteor-uat.aihw.gov.au/content/426458" TargetMode="External" Id="R7cdd7b6dafae4365" /><Relationship Type="http://schemas.openxmlformats.org/officeDocument/2006/relationships/hyperlink" Target="https://meteor-uat.aihw.gov.au/content/426458" TargetMode="External" Id="R617b0dc9978f47f1" /><Relationship Type="http://schemas.openxmlformats.org/officeDocument/2006/relationships/hyperlink" Target="https://meteor-uat.aihw.gov.au/content/426458" TargetMode="External" Id="R5367703096ef42d0" /><Relationship Type="http://schemas.openxmlformats.org/officeDocument/2006/relationships/hyperlink" Target="https://meteor-uat.aihw.gov.au/content/426458" TargetMode="External" Id="Rc416902a2179447a" /><Relationship Type="http://schemas.openxmlformats.org/officeDocument/2006/relationships/hyperlink" Target="https://meteor-uat.aihw.gov.au/content/584868" TargetMode="External" Id="Re28e2a7cd8e9445d" /><Relationship Type="http://schemas.openxmlformats.org/officeDocument/2006/relationships/hyperlink" Target="https://meteor-uat.aihw.gov.au/content/692993" TargetMode="External" Id="Ra2f39b62a0284ba6" /><Relationship Type="http://schemas.openxmlformats.org/officeDocument/2006/relationships/hyperlink" Target="https://meteor-uat.aihw.gov.au/RegistrationAuthority/14" TargetMode="External" Id="R9007aa4a84404825" /><Relationship Type="http://schemas.openxmlformats.org/officeDocument/2006/relationships/hyperlink" Target="https://meteor-uat.aihw.gov.au/content/723365" TargetMode="External" Id="R612fe4cc28a449d1" /><Relationship Type="http://schemas.openxmlformats.org/officeDocument/2006/relationships/hyperlink" Target="https://meteor-uat.aihw.gov.au/RegistrationAuthority/14" TargetMode="External" Id="R1d5a00ce1eed46ec" /></Relationships>
</file>

<file path=word/_rels/header1.xml.rels>&#65279;<?xml version="1.0" encoding="utf-8"?><Relationships xmlns="http://schemas.openxmlformats.org/package/2006/relationships"><Relationship Type="http://schemas.openxmlformats.org/officeDocument/2006/relationships/image" Target="/media/image.png" Id="R5281abeb0d7b452f" /></Relationships>
</file>