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b99c1605514502" /></Relationships>
</file>

<file path=word/document.xml><?xml version="1.0" encoding="utf-8"?>
<w:document xmlns:r="http://schemas.openxmlformats.org/officeDocument/2006/relationships" xmlns:w="http://schemas.openxmlformats.org/wordprocessingml/2006/main">
  <w:body>
    <w:p>
      <w:pPr>
        <w:pStyle w:val="Title"/>
      </w:pPr>
      <w:r>
        <w:t>Total recurrent expenditure on National Health Reform Agreement product streams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recurrent expenditure on National Health Reform Agreement product streams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d0cc9533bc4f7b">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expenditure on National Health Reform Agreement product streams data element cluster describes information relating to the total recurrent expenditure by an establishment by National Health Reform Agreement product streams.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Total recurrent expenditure on National Health Reform Agreement product streams data element cluster comprises two data elements that when used in conjunction with each other describe the following information for an establishment:</w:t>
            </w:r>
          </w:p>
          <w:tbl>
            <w:tblPr>
              <w:tblStyle w:val="TableGrid"/>
              <w:tblW w:w="5000" w:type="pct"/>
              <w:tblLayout w:type="autofit"/>
            </w:tblPr>
            <w:tblGrid>
              <w:gridCol/>
              <w:gridCol/>
            </w:tblGrid>
            <w:tr>
              <w:trPr/>
              <w:tc>
                <w:tcPr>
                  <w:tcW w:w="4000" w:type="pct"/>
                  <w:vAlign w:val="top"/>
                </w:tcPr>
                <w:p>
                  <w:pPr/>
                  <w:r>
                    <w:rPr>
                      <w:rStyle w:val="row-content-rich-text"/>
                      <w:b/>
                    </w:rPr>
                    <w:t xml:space="preserve">Product stream </w:t>
                  </w:r>
                </w:p>
              </w:tc>
              <w:tc>
                <w:tcPr>
                  <w:tcW w:w="1000" w:type="pct"/>
                  <w:vAlign w:val="top"/>
                </w:tcPr>
                <w:p>
                  <w:r>
                    <w:rPr>
                      <w:b/>
                    </w:rPr>
                    <w:t xml:space="preserve">Total Australian dollars</w:t>
                  </w:r>
                </w:p>
              </w:tc>
            </w:tr>
            <w:tr>
              <w:trPr/>
              <w:tc>
                <w:tcPr>
                  <w:tcW w:w="4000" w:type="pct"/>
                  <w:vAlign w:val="top"/>
                </w:tcPr>
                <w:p>
                  <w:r>
                    <w:t xml:space="preserve">Admitted acute care (excluding mental health care)(in-scope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care)(in-scope for the NHRA)</w:t>
                  </w:r>
                </w:p>
              </w:tc>
              <w:tc>
                <w:tcPr>
                  <w:tcW w:w="1000" w:type="pct"/>
                  <w:vAlign w:val="top"/>
                </w:tcPr>
                <w:p>
                  <w:r>
                    <w:t xml:space="preserve">N[N(13)]</w:t>
                  </w:r>
                </w:p>
              </w:tc>
            </w:tr>
            <w:tr>
              <w:trPr/>
              <w:tc>
                <w:tcPr>
                  <w:tcW w:w="4000" w:type="pct"/>
                  <w:vAlign w:val="top"/>
                </w:tcPr>
                <w:p>
                  <w:r>
                    <w:t xml:space="preserve">Other admitted care (excluding mental health care)(in-scope for the NHRA)</w:t>
                  </w:r>
                </w:p>
              </w:tc>
              <w:tc>
                <w:tcPr>
                  <w:tcW w:w="1000" w:type="pct"/>
                  <w:vAlign w:val="top"/>
                </w:tcPr>
                <w:p>
                  <w:r>
                    <w:t xml:space="preserve">N[N(13)]</w:t>
                  </w:r>
                </w:p>
              </w:tc>
            </w:tr>
            <w:tr>
              <w:trPr/>
              <w:tc>
                <w:tcPr>
                  <w:tcW w:w="4000" w:type="pct"/>
                  <w:vAlign w:val="top"/>
                </w:tcPr>
                <w:p>
                  <w:r>
                    <w:t xml:space="preserve">Admitted mental health care (in-scope for the NHRA)</w:t>
                  </w:r>
                </w:p>
              </w:tc>
              <w:tc>
                <w:tcPr>
                  <w:tcW w:w="1000" w:type="pct"/>
                  <w:vAlign w:val="top"/>
                </w:tcPr>
                <w:p>
                  <w:r>
                    <w:t xml:space="preserve">N[N(13)]</w:t>
                  </w:r>
                </w:p>
              </w:tc>
            </w:tr>
            <w:tr>
              <w:trPr/>
              <w:tc>
                <w:tcPr>
                  <w:tcW w:w="4000" w:type="pct"/>
                  <w:vAlign w:val="top"/>
                </w:tcPr>
                <w:p>
                  <w:r>
                    <w:t xml:space="preserve">Emergency care services (in-scope for the NHRA)</w:t>
                  </w:r>
                </w:p>
              </w:tc>
              <w:tc>
                <w:tcPr>
                  <w:tcW w:w="1000" w:type="pct"/>
                  <w:vAlign w:val="top"/>
                </w:tcPr>
                <w:p>
                  <w:r>
                    <w:t xml:space="preserve">N[N(13)]</w:t>
                  </w:r>
                </w:p>
              </w:tc>
            </w:tr>
            <w:tr>
              <w:trPr/>
              <w:tc>
                <w:tcPr>
                  <w:tcW w:w="4000" w:type="pct"/>
                  <w:vAlign w:val="top"/>
                </w:tcPr>
                <w:p>
                  <w:r>
                    <w:t xml:space="preserve">Non-admitted care (in-scope for the NHRA)</w:t>
                  </w:r>
                </w:p>
              </w:tc>
              <w:tc>
                <w:tcPr>
                  <w:tcW w:w="1000" w:type="pct"/>
                  <w:vAlign w:val="top"/>
                </w:tcPr>
                <w:p>
                  <w:r>
                    <w:t xml:space="preserve">N[N(13)]</w:t>
                  </w:r>
                </w:p>
              </w:tc>
            </w:tr>
            <w:tr>
              <w:trPr/>
              <w:tc>
                <w:tcPr>
                  <w:tcW w:w="4000" w:type="pct"/>
                  <w:vAlign w:val="top"/>
                </w:tcPr>
                <w:p>
                  <w:r>
                    <w:t xml:space="preserve">Direct teaching, training and research</w:t>
                  </w:r>
                </w:p>
              </w:tc>
              <w:tc>
                <w:tcPr>
                  <w:tcW w:w="1000" w:type="pct"/>
                  <w:vAlign w:val="top"/>
                </w:tcPr>
                <w:p>
                  <w:r>
                    <w:t xml:space="preserve">N[N(13)]</w:t>
                  </w:r>
                </w:p>
              </w:tc>
            </w:tr>
            <w:tr>
              <w:trPr/>
              <w:tc>
                <w:tcPr>
                  <w:tcW w:w="4000" w:type="pct"/>
                  <w:vAlign w:val="top"/>
                </w:tcPr>
                <w:p>
                  <w:r>
                    <w:t xml:space="preserve">Commonwealth funded aged care</w:t>
                  </w:r>
                </w:p>
              </w:tc>
              <w:tc>
                <w:tcPr>
                  <w:tcW w:w="1000" w:type="pct"/>
                  <w:vAlign w:val="top"/>
                </w:tcPr>
                <w:p>
                  <w:r>
                    <w:t xml:space="preserve">N[N(13)]</w:t>
                  </w:r>
                </w:p>
              </w:tc>
            </w:tr>
            <w:tr>
              <w:trPr/>
              <w:tc>
                <w:tcPr>
                  <w:tcW w:w="4000" w:type="pct"/>
                  <w:vAlign w:val="top"/>
                </w:tcPr>
                <w:p>
                  <w:r>
                    <w:t xml:space="preserve">Other aged care</w:t>
                  </w:r>
                </w:p>
              </w:tc>
              <w:tc>
                <w:tcPr>
                  <w:tcW w:w="1000" w:type="pct"/>
                  <w:vAlign w:val="top"/>
                </w:tcPr>
                <w:p>
                  <w:r>
                    <w:t xml:space="preserve">N[N(13)]</w:t>
                  </w:r>
                </w:p>
              </w:tc>
            </w:tr>
            <w:tr>
              <w:trPr/>
              <w:tc>
                <w:tcPr>
                  <w:tcW w:w="4000" w:type="pct"/>
                  <w:vAlign w:val="top"/>
                </w:tcPr>
                <w:p>
                  <w:r>
                    <w:t xml:space="preserve">Non-admitted care (excluding emergency care)(out-of-scope for the NHRA)</w:t>
                  </w:r>
                </w:p>
              </w:tc>
              <w:tc>
                <w:tcPr>
                  <w:tcW w:w="1000" w:type="pct"/>
                  <w:vAlign w:val="top"/>
                </w:tcPr>
                <w:p>
                  <w:r>
                    <w:t xml:space="preserve">N[N(13)]</w:t>
                  </w:r>
                </w:p>
              </w:tc>
            </w:tr>
            <w:tr>
              <w:trPr/>
              <w:tc>
                <w:tcPr>
                  <w:tcW w:w="4000" w:type="pct"/>
                  <w:vAlign w:val="top"/>
                </w:tcPr>
                <w:p>
                  <w:r>
                    <w:t xml:space="preserve">Admitted acute care (excluding mental health care)(out-of-scope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care)(out-of-scope for the NHRA)</w:t>
                  </w:r>
                </w:p>
              </w:tc>
              <w:tc>
                <w:tcPr>
                  <w:tcW w:w="1000" w:type="pct"/>
                  <w:vAlign w:val="top"/>
                </w:tcPr>
                <w:p>
                  <w:r>
                    <w:t xml:space="preserve">N[N(13)]</w:t>
                  </w:r>
                </w:p>
              </w:tc>
            </w:tr>
            <w:tr>
              <w:trPr/>
              <w:tc>
                <w:tcPr>
                  <w:tcW w:w="4000" w:type="pct"/>
                  <w:vAlign w:val="top"/>
                </w:tcPr>
                <w:p>
                  <w:r>
                    <w:t xml:space="preserve">Other admitted care (excluding mental health care)(out-of-scope for the NHRA)</w:t>
                  </w:r>
                </w:p>
              </w:tc>
              <w:tc>
                <w:tcPr>
                  <w:tcW w:w="1000" w:type="pct"/>
                  <w:vAlign w:val="top"/>
                </w:tcPr>
                <w:p>
                  <w:r>
                    <w:t xml:space="preserve">N[N(13)]</w:t>
                  </w:r>
                </w:p>
              </w:tc>
            </w:tr>
            <w:tr>
              <w:trPr/>
              <w:tc>
                <w:tcPr>
                  <w:tcW w:w="4000" w:type="pct"/>
                  <w:vAlign w:val="top"/>
                </w:tcPr>
                <w:p>
                  <w:r>
                    <w:t xml:space="preserve">Admitted mental health care (out-of-scope for the NHRA)</w:t>
                  </w:r>
                </w:p>
              </w:tc>
              <w:tc>
                <w:tcPr>
                  <w:tcW w:w="1000" w:type="pct"/>
                  <w:vAlign w:val="top"/>
                </w:tcPr>
                <w:p>
                  <w:r>
                    <w:t xml:space="preserve">N[N(13)]</w:t>
                  </w:r>
                </w:p>
              </w:tc>
            </w:tr>
            <w:tr>
              <w:trPr/>
              <w:tc>
                <w:tcPr>
                  <w:tcW w:w="4000" w:type="pct"/>
                  <w:vAlign w:val="top"/>
                </w:tcPr>
                <w:p>
                  <w:r>
                    <w:t xml:space="preserve">Emergency care services (out-of-scope for the NHRA)</w:t>
                  </w:r>
                </w:p>
              </w:tc>
              <w:tc>
                <w:tcPr>
                  <w:tcW w:w="1000" w:type="pct"/>
                  <w:vAlign w:val="top"/>
                </w:tcPr>
                <w:p>
                  <w:r>
                    <w:t xml:space="preserve">N[N(13)]</w:t>
                  </w:r>
                </w:p>
              </w:tc>
            </w:tr>
            <w:tr>
              <w:trPr/>
              <w:tc>
                <w:tcPr>
                  <w:tcW w:w="4000" w:type="pct"/>
                  <w:vAlign w:val="top"/>
                </w:tcPr>
                <w:p>
                  <w:r>
                    <w:t xml:space="preserve">Depreciation</w:t>
                  </w:r>
                </w:p>
              </w:tc>
              <w:tc>
                <w:tcPr>
                  <w:tcW w:w="1000" w:type="pct"/>
                  <w:vAlign w:val="top"/>
                </w:tcPr>
                <w:p>
                  <w:r>
                    <w:t xml:space="preserve">N[N(13)]</w:t>
                  </w:r>
                </w:p>
              </w:tc>
            </w:tr>
            <w:tr>
              <w:trPr/>
              <w:tc>
                <w:tcPr>
                  <w:tcW w:w="4000" w:type="pct"/>
                  <w:vAlign w:val="top"/>
                </w:tcPr>
                <w:p>
                  <w:r>
                    <w:t xml:space="preserve">Other (out-of-scope for the NHRA)</w:t>
                  </w:r>
                </w:p>
              </w:tc>
              <w:tc>
                <w:tcPr>
                  <w:tcW w:w="1000" w:type="pct"/>
                  <w:vAlign w:val="top"/>
                </w:tcPr>
                <w:p>
                  <w:r>
                    <w:t xml:space="preserve">N[N(13)]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309394753a49f9">
              <w:r>
                <w:rPr>
                  <w:rStyle w:val="Hyperlink"/>
                </w:rPr>
                <w:t xml:space="preserve">Total recurrent expenditure on National Health Reform Agreement product streams data element cluster</w:t>
              </w:r>
            </w:hyperlink>
          </w:p>
          <w:p>
            <w:pPr>
              <w:pStyle w:val="registration-status"/>
              <w:spacing w:before="0" w:after="0"/>
            </w:pPr>
            <w:hyperlink w:history="true" r:id="R857741d6fd1c401b">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29208c67e1164801">
              <w:r>
                <w:rPr>
                  <w:rStyle w:val="Hyperlink"/>
                </w:rPr>
                <w:t xml:space="preserve">Total recurrent expenditure on National Health Reform Agreement product streams data element cluster</w:t>
              </w:r>
            </w:hyperlink>
          </w:p>
          <w:p>
            <w:pPr>
              <w:pStyle w:val="registration-status"/>
              <w:spacing w:before="0" w:after="0"/>
            </w:pPr>
            <w:hyperlink w:history="true" r:id="Ra46a990a83114ac0">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902b5cdbc94d1f">
              <w:r>
                <w:rPr>
                  <w:rStyle w:val="Hyperlink"/>
                </w:rPr>
                <w:t xml:space="preserve">Local Hospital Networks data element cluster</w:t>
              </w:r>
            </w:hyperlink>
          </w:p>
          <w:p>
            <w:pPr>
              <w:pStyle w:val="registration-status"/>
              <w:spacing w:before="0" w:after="0"/>
            </w:pPr>
            <w:hyperlink w:history="true" r:id="Rce95f6287be441fd">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8adb3054029a47a7">
              <w:r>
                <w:rPr>
                  <w:rStyle w:val="Hyperlink"/>
                </w:rPr>
                <w:t xml:space="preserve">Public hospital establishments data element cluster</w:t>
              </w:r>
            </w:hyperlink>
          </w:p>
          <w:p>
            <w:pPr>
              <w:pStyle w:val="registration-status"/>
              <w:spacing w:before="0" w:after="0"/>
            </w:pPr>
            <w:hyperlink w:history="true" r:id="Re815c15dbd0e4e43">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d876bf86acf746c6">
              <w:r>
                <w:rPr>
                  <w:rStyle w:val="Hyperlink"/>
                </w:rPr>
                <w:t xml:space="preserve">State or territory health authority data element cluster</w:t>
              </w:r>
            </w:hyperlink>
          </w:p>
          <w:p>
            <w:pPr>
              <w:pStyle w:val="registration-status"/>
              <w:spacing w:before="0" w:after="0"/>
            </w:pPr>
            <w:hyperlink w:history="true" r:id="Rc0224c8150634cbb">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7bb3eb914c4e7a">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6e175d2c9545d8">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8845dc2f5cb74c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706380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7dd7c5e7384f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45dc2f5cb74c88" /><Relationship Type="http://schemas.openxmlformats.org/officeDocument/2006/relationships/header" Target="/word/header1.xml" Id="R48493405823c4821" /><Relationship Type="http://schemas.openxmlformats.org/officeDocument/2006/relationships/settings" Target="/word/settings.xml" Id="Re151df1399014597" /><Relationship Type="http://schemas.openxmlformats.org/officeDocument/2006/relationships/styles" Target="/word/styles.xml" Id="R70c52a475e1f4e62" /><Relationship Type="http://schemas.openxmlformats.org/officeDocument/2006/relationships/hyperlink" Target="https://meteor-uat.aihw.gov.au/RegistrationAuthority/14" TargetMode="External" Id="R6cd0cc9533bc4f7b" /><Relationship Type="http://schemas.openxmlformats.org/officeDocument/2006/relationships/hyperlink" Target="https://meteor-uat.aihw.gov.au/content/679213" TargetMode="External" Id="R09309394753a49f9" /><Relationship Type="http://schemas.openxmlformats.org/officeDocument/2006/relationships/hyperlink" Target="https://meteor-uat.aihw.gov.au/RegistrationAuthority/14" TargetMode="External" Id="R857741d6fd1c401b" /><Relationship Type="http://schemas.openxmlformats.org/officeDocument/2006/relationships/hyperlink" Target="https://meteor-uat.aihw.gov.au/content/718209" TargetMode="External" Id="R29208c67e1164801" /><Relationship Type="http://schemas.openxmlformats.org/officeDocument/2006/relationships/hyperlink" Target="https://meteor-uat.aihw.gov.au/RegistrationAuthority/14" TargetMode="External" Id="Ra46a990a83114ac0" /><Relationship Type="http://schemas.openxmlformats.org/officeDocument/2006/relationships/hyperlink" Target="https://meteor-uat.aihw.gov.au/content/706382" TargetMode="External" Id="R3a902b5cdbc94d1f" /><Relationship Type="http://schemas.openxmlformats.org/officeDocument/2006/relationships/hyperlink" Target="https://meteor-uat.aihw.gov.au/RegistrationAuthority/14" TargetMode="External" Id="Rce95f6287be441fd" /><Relationship Type="http://schemas.openxmlformats.org/officeDocument/2006/relationships/hyperlink" Target="https://meteor-uat.aihw.gov.au/content/706483" TargetMode="External" Id="R8adb3054029a47a7" /><Relationship Type="http://schemas.openxmlformats.org/officeDocument/2006/relationships/hyperlink" Target="https://meteor-uat.aihw.gov.au/RegistrationAuthority/14" TargetMode="External" Id="Re815c15dbd0e4e43" /><Relationship Type="http://schemas.openxmlformats.org/officeDocument/2006/relationships/hyperlink" Target="https://meteor-uat.aihw.gov.au/content/706488" TargetMode="External" Id="Rd876bf86acf746c6" /><Relationship Type="http://schemas.openxmlformats.org/officeDocument/2006/relationships/hyperlink" Target="https://meteor-uat.aihw.gov.au/RegistrationAuthority/14" TargetMode="External" Id="Rc0224c8150634cbb" /><Relationship Type="http://schemas.openxmlformats.org/officeDocument/2006/relationships/hyperlink" Target="https://meteor-uat.aihw.gov.au/content/706378" TargetMode="External" Id="R227bb3eb914c4e7a" /><Relationship Type="http://schemas.openxmlformats.org/officeDocument/2006/relationships/hyperlink" Target="https://meteor-uat.aihw.gov.au/content/608186" TargetMode="External" Id="R7f6e175d2c9545d8" /></Relationships>
</file>

<file path=word/_rels/header1.xml.rels>&#65279;<?xml version="1.0" encoding="utf-8"?><Relationships xmlns="http://schemas.openxmlformats.org/package/2006/relationships"><Relationship Type="http://schemas.openxmlformats.org/officeDocument/2006/relationships/image" Target="/media/image.png" Id="Rc87dd7c5e7384f55" /></Relationships>
</file>