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dcd22b3e624762"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 code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 code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5800f65ff04b59">
              <w:r>
                <w:rPr>
                  <w:rStyle w:val="Hyperlink"/>
                  <w:color w:val="244061"/>
                </w:rPr>
                <w:t xml:space="preserve">Tasmanian Health</w:t>
              </w:r>
            </w:hyperlink>
            <w:r>
              <w:rPr>
                <w:rStyle w:val="row-content"/>
                <w:color w:val="244061"/>
              </w:rPr>
              <w:t xml:space="preserve">, Standard 08/04/2019</w:t>
            </w:r>
          </w:p>
          <w:p>
            <w:pPr>
              <w:spacing w:before="0" w:after="0"/>
            </w:pPr>
            <w:hyperlink w:history="true" r:id="Rb6b51e8224f945b0">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886383e3844a12">
              <w:r>
                <w:rPr>
                  <w:rStyle w:val="Hyperlink"/>
                </w:rPr>
                <w:t xml:space="preserve">Episode of care—additional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6b1a2b80da4195">
              <w:r>
                <w:rPr>
                  <w:rStyle w:val="Hyperlink"/>
                </w:rPr>
                <w:t xml:space="preserve">Diagnosis code (ICD-10-AM 11th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9570e6959714279">
              <w:r>
                <w:rPr>
                  <w:rStyle w:val="Hyperlink"/>
                </w:rPr>
                <w:t xml:space="preserve">International Statistical Classification of Diseases and Related Health Problems, Tenth Revision, Australian Modification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diagnosis relevant to the episode of care in accordance with the </w:t>
            </w:r>
            <w:r>
              <w:rPr>
                <w:rStyle w:val="row-content-rich-text"/>
                <w:i/>
              </w:rPr>
              <w:t xml:space="preserve">International statistical classification of diseases and related health problems, 10th revision, Australian modification </w:t>
            </w:r>
            <w:r>
              <w:rPr>
                <w:rStyle w:val="row-content-rich-text"/>
              </w:rPr>
              <w:t xml:space="preserve">(ICD-10-AM) Australian Coding Standards. Generally, external cause, place of occurrence and activity codes will be included in the string of additional diagnosis codes. In some data collections these codes may also be copied into specific fields.</w:t>
            </w:r>
          </w:p>
          <w:p>
            <w:pPr>
              <w:spacing w:after="160"/>
            </w:pPr>
            <w:r>
              <w:rPr>
                <w:rStyle w:val="row-content-rich-text"/>
              </w:rPr>
              <w:t xml:space="preserve">The diagnosis can include a disease, condition, injury, poisoning, sign, symptom, abnormal finding, complaint, or other factor influencing health status.</w:t>
            </w:r>
          </w:p>
          <w:p>
            <w:pPr/>
            <w:r>
              <w:rPr>
                <w:rStyle w:val="row-content-rich-text"/>
              </w:rPr>
              <w:t xml:space="preserve">Additional diagnoses give information on the conditions that are significant in terms of treatment required, investigations needed and resources used during the episode of care. They are used for casemix analyses relating to severity of illness and for correct classification of patients into Australian Refined Diagnosis Related Groups (AR-DRGs).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diagnosis should be recorded and coded where appropriate upon separation of an episode of admitted patient care or the end of an episode of residential care or attendance at a health-care establishment. The additional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should be interpreted as conditions that significantly affect patient management in terms of requiring any of the following:</w:t>
            </w:r>
          </w:p>
          <w:p>
            <w:pPr>
              <w:pStyle w:val="ListParagraph"/>
              <w:numPr>
                <w:ilvl w:val="0"/>
                <w:numId w:val="2"/>
              </w:numPr>
            </w:pPr>
            <w:r>
              <w:rPr>
                <w:rStyle w:val="row-content-rich-text"/>
              </w:rPr>
              <w:t xml:space="preserve">commencement, alteration or adjustment of therapeutic treatment</w:t>
            </w:r>
          </w:p>
          <w:p>
            <w:pPr>
              <w:pStyle w:val="ListParagraph"/>
              <w:numPr>
                <w:ilvl w:val="0"/>
                <w:numId w:val="2"/>
              </w:numPr>
            </w:pPr>
            <w:r>
              <w:rPr>
                <w:rStyle w:val="row-content-rich-text"/>
              </w:rPr>
              <w:t xml:space="preserve">diagnostic procedures</w:t>
            </w:r>
          </w:p>
          <w:p>
            <w:pPr>
              <w:pStyle w:val="ListParagraph"/>
              <w:numPr>
                <w:ilvl w:val="0"/>
                <w:numId w:val="2"/>
              </w:numPr>
            </w:pPr>
            <w:r>
              <w:rPr>
                <w:rStyle w:val="row-content-rich-text"/>
              </w:rPr>
              <w:t xml:space="preserve">increased clinical care</w:t>
            </w:r>
          </w:p>
          <w:p>
            <w:pPr>
              <w:spacing w:after="160"/>
            </w:pPr>
            <w:r>
              <w:rPr>
                <w:rStyle w:val="row-content-rich-text"/>
              </w:rPr>
              <w:t xml:space="preserve">In accordance with the Australian Coding Standards, a condition may be documented by the treating clinician/team due to its 'clinical significance', however some conditions are not normally coded as additional diagnoses in certain circumstances.</w:t>
            </w:r>
          </w:p>
          <w:p>
            <w:pPr>
              <w:spacing w:after="160"/>
            </w:pPr>
            <w:r>
              <w:rPr>
                <w:rStyle w:val="row-content-rich-text"/>
              </w:rPr>
              <w:t xml:space="preserve">Additional diagnoses are significant for the allocation of AR-DRGs. The allocation of a patient to major problem or complication and co-morbidity Diagnosis Related Groups is made on the basis of the presence of certain specified additional diagnoses. Additional diagnoses should be recorded when relevant to the patient's episode of care and not restricted by the number of fields on the morbidity form or computer screen.</w:t>
            </w:r>
          </w:p>
          <w:p>
            <w:pPr/>
            <w:r>
              <w:rPr>
                <w:rStyle w:val="row-content-rich-text"/>
              </w:rPr>
              <w:t xml:space="preserve">External cause codes, although not diagnosis of condition codes, should be sequenced together with the additional diagnosis codes so that meaning is given to the data for use in injury surveillance and other monitoring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w:t>
            </w:r>
          </w:p>
          <w:p>
            <w:pPr/>
            <w:r>
              <w:rPr>
                <w:rStyle w:val="row-content-rich-text"/>
              </w:rPr>
              <w:t xml:space="preserve">Australian Consortium for Classification Development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6654810f6d4c00">
              <w:r>
                <w:rPr>
                  <w:rStyle w:val="Hyperlink"/>
                </w:rPr>
                <w:t xml:space="preserve">Episode of care—additional diagnosis, code (ICD-10-AM 10th edn) ANN{.N[N]}</w:t>
              </w:r>
            </w:hyperlink>
          </w:p>
          <w:p>
            <w:pPr>
              <w:pStyle w:val="registration-status"/>
              <w:spacing w:before="0" w:after="0"/>
            </w:pPr>
            <w:hyperlink w:history="true" r:id="R7ec40a4c1d2d415a">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1ba6925f059947b9">
              <w:r>
                <w:rPr>
                  <w:rStyle w:val="Hyperlink"/>
                  <w:color w:val="244061"/>
                </w:rPr>
                <w:t xml:space="preserve">Tasmanian Health</w:t>
              </w:r>
            </w:hyperlink>
            <w:r>
              <w:rPr>
                <w:rStyle w:val="row-content"/>
                <w:color w:val="244061"/>
              </w:rPr>
              <w:t xml:space="preserve">, Superseded 08/04/2019</w:t>
            </w:r>
          </w:p>
          <w:p>
            <w:r>
              <w:br/>
            </w:r>
            <w:r>
              <w:rPr>
                <w:rStyle w:val="row-content"/>
              </w:rPr>
              <w:t xml:space="preserve">Has been superseded by </w:t>
            </w:r>
            <w:hyperlink w:history="true" r:id="Rd7ec656a9497408d">
              <w:r>
                <w:rPr>
                  <w:rStyle w:val="Hyperlink"/>
                </w:rPr>
                <w:t xml:space="preserve">Episode of care—additional diagnosis, code (ICD-10-AM 12th edn) ANN{.N[N]}</w:t>
              </w:r>
            </w:hyperlink>
          </w:p>
          <w:p>
            <w:pPr>
              <w:pStyle w:val="registration-status"/>
              <w:spacing w:before="0" w:after="0"/>
            </w:pPr>
            <w:hyperlink w:history="true" r:id="R59c24e1d752c4e18">
              <w:r>
                <w:rPr>
                  <w:rStyle w:val="Hyperlink"/>
                  <w:color w:val="244061"/>
                </w:rPr>
                <w:t xml:space="preserve">Health!</w:t>
              </w:r>
            </w:hyperlink>
            <w:r>
              <w:rPr>
                <w:rStyle w:val="row-content"/>
                <w:color w:val="244061"/>
              </w:rPr>
              <w:t xml:space="preserve">, Standard 20/10/2021</w:t>
            </w:r>
          </w:p>
          <w:p>
            <w:r>
              <w:br/>
            </w:r>
            <w:r>
              <w:rPr>
                <w:rStyle w:val="row-content"/>
              </w:rPr>
              <w:t xml:space="preserve">Is used in the formation of </w:t>
            </w:r>
            <w:hyperlink w:history="true" r:id="R3071d5902c2d46e5">
              <w:r>
                <w:rPr>
                  <w:rStyle w:val="Hyperlink"/>
                </w:rPr>
                <w:t xml:space="preserve">Episode of admitted patient care—diagnosis related group, code (AR-DRG v 10.0) ANNA</w:t>
              </w:r>
            </w:hyperlink>
          </w:p>
          <w:p>
            <w:pPr>
              <w:pStyle w:val="registration-status"/>
              <w:spacing w:before="0" w:after="0"/>
            </w:pPr>
            <w:hyperlink w:history="true" r:id="R699455b643324bdf">
              <w:r>
                <w:rPr>
                  <w:rStyle w:val="Hyperlink"/>
                  <w:color w:val="244061"/>
                </w:rPr>
                <w:t xml:space="preserve">Tasmanian Health</w:t>
              </w:r>
            </w:hyperlink>
            <w:r>
              <w:rPr>
                <w:rStyle w:val="row-content"/>
                <w:color w:val="244061"/>
              </w:rPr>
              <w:t xml:space="preserve">, Standard 19/06/2020</w:t>
            </w:r>
          </w:p>
          <w:p>
            <w:r>
              <w:br/>
            </w:r>
            <w:r>
              <w:rPr>
                <w:rStyle w:val="row-content"/>
              </w:rPr>
              <w:t xml:space="preserve">See also </w:t>
            </w:r>
            <w:hyperlink w:history="true" r:id="R2a69cca6d89c4506">
              <w:r>
                <w:rPr>
                  <w:rStyle w:val="Hyperlink"/>
                </w:rPr>
                <w:t xml:space="preserve">Episode of care—principal diagnosis, code (ICD-10-AM 11th edn) ANN{.N[N]}</w:t>
              </w:r>
            </w:hyperlink>
          </w:p>
          <w:p>
            <w:pPr>
              <w:pStyle w:val="registration-status"/>
              <w:spacing w:before="0" w:after="0"/>
            </w:pPr>
            <w:hyperlink w:history="true" r:id="R5e395628d276469b">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a7fb737807754d31">
              <w:r>
                <w:rPr>
                  <w:rStyle w:val="Hyperlink"/>
                  <w:color w:val="244061"/>
                </w:rPr>
                <w:t xml:space="preserve">Tasmanian Health</w:t>
              </w:r>
            </w:hyperlink>
            <w:r>
              <w:rPr>
                <w:rStyle w:val="row-content"/>
                <w:color w:val="244061"/>
              </w:rPr>
              <w:t xml:space="preserve">, Standard 08/04/2019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bbfa5618f44cdc">
              <w:r>
                <w:rPr>
                  <w:rStyle w:val="Hyperlink"/>
                </w:rPr>
                <w:t xml:space="preserve">Activity based funding: Mental health care NBEDS 2019-20</w:t>
              </w:r>
            </w:hyperlink>
          </w:p>
          <w:p>
            <w:pPr>
              <w:pStyle w:val="registration-status"/>
              <w:spacing w:before="0" w:after="0"/>
            </w:pPr>
            <w:hyperlink w:history="true" r:id="R95c557864a504bb2">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required to be reported for patients with an admitted or residential mental health episode of care.</w:t>
            </w:r>
          </w:p>
          <w:p>
            <w:r>
              <w:br/>
            </w:r>
            <w:r>
              <w:br/>
            </w:r>
            <w:hyperlink w:history="true" r:id="R85fc5e71a9a24ac3">
              <w:r>
                <w:rPr>
                  <w:rStyle w:val="Hyperlink"/>
                </w:rPr>
                <w:t xml:space="preserve">Activity based funding: Mental health care NBEDS 2020–21</w:t>
              </w:r>
            </w:hyperlink>
          </w:p>
          <w:p>
            <w:pPr>
              <w:pStyle w:val="registration-status"/>
              <w:spacing w:before="0" w:after="0"/>
            </w:pPr>
            <w:hyperlink w:history="true" r:id="R21ed39173c61436c">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required to be reported for patients with an admitted or residential mental health episode of care.</w:t>
            </w:r>
          </w:p>
          <w:p>
            <w:r>
              <w:br/>
            </w:r>
            <w:r>
              <w:br/>
            </w:r>
            <w:hyperlink w:history="true" r:id="R718d7c5e6ffa42b4">
              <w:r>
                <w:rPr>
                  <w:rStyle w:val="Hyperlink"/>
                </w:rPr>
                <w:t xml:space="preserve">Activity based funding: Mental health care NBEDS 2021–22</w:t>
              </w:r>
            </w:hyperlink>
          </w:p>
          <w:p>
            <w:pPr>
              <w:pStyle w:val="registration-status"/>
              <w:spacing w:before="0" w:after="0"/>
            </w:pPr>
            <w:hyperlink w:history="true" r:id="Re970a0be39a2449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required to be reported for patients with an admitted or residential mental health episode of care.</w:t>
            </w:r>
          </w:p>
          <w:p>
            <w:r>
              <w:br/>
            </w:r>
            <w:r>
              <w:br/>
            </w:r>
            <w:hyperlink w:history="true" r:id="Rd32fe9242b9842bc">
              <w:r>
                <w:rPr>
                  <w:rStyle w:val="Hyperlink"/>
                </w:rPr>
                <w:t xml:space="preserve">Admitted patient care clinical related data elements (TDLU) cluster</w:t>
              </w:r>
            </w:hyperlink>
          </w:p>
          <w:p>
            <w:pPr>
              <w:pStyle w:val="registration-status"/>
              <w:spacing w:before="0" w:after="0"/>
            </w:pPr>
            <w:hyperlink w:history="true" r:id="Rb500ecb8bd8245ea">
              <w:r>
                <w:rPr>
                  <w:rStyle w:val="Hyperlink"/>
                  <w:color w:val="244061"/>
                </w:rPr>
                <w:t xml:space="preserve">Tasmanian Health</w:t>
              </w:r>
            </w:hyperlink>
            <w:r>
              <w:rPr>
                <w:rStyle w:val="row-content"/>
                <w:color w:val="244061"/>
              </w:rPr>
              <w:t xml:space="preserve">, Standard 18/05/2021</w:t>
            </w:r>
          </w:p>
          <w:p>
            <w:r>
              <w:br/>
            </w:r>
            <w:hyperlink w:history="true" r:id="R8011839ba91c40af">
              <w:r>
                <w:rPr>
                  <w:rStyle w:val="Hyperlink"/>
                </w:rPr>
                <w:t xml:space="preserve">Admitted patient care NMDS 2019-20</w:t>
              </w:r>
            </w:hyperlink>
          </w:p>
          <w:p>
            <w:pPr>
              <w:pStyle w:val="registration-status"/>
              <w:spacing w:before="0" w:after="0"/>
            </w:pPr>
            <w:hyperlink w:history="true" r:id="Rbb3cc929ae2541ca">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reported if the episode of care results in more than one diagnosis code being allocated.</w:t>
            </w:r>
          </w:p>
          <w:p>
            <w:r>
              <w:br/>
            </w:r>
            <w:r>
              <w:rPr>
                <w:rStyle w:val="row-content"/>
                <w:b/>
                <w:i/>
              </w:rPr>
              <w:t xml:space="preserve">DSS specific information: </w:t>
            </w:r>
          </w:p>
          <w:p>
            <w:r>
              <w:rPr>
                <w:rStyle w:val="row-content"/>
              </w:rPr>
              <w:t xml:space="preserve">An unlimited number of diagnosis and procedure codes should be able to be collected in hospital morbidity systems. Where this is not possible, a minimum of 20 codes should be able to be collected.</w:t>
            </w:r>
          </w:p>
          <w:p>
            <w:r>
              <w:br/>
            </w:r>
            <w:r>
              <w:br/>
            </w:r>
            <w:hyperlink w:history="true" r:id="Rfab0fcb759104642">
              <w:r>
                <w:rPr>
                  <w:rStyle w:val="Hyperlink"/>
                </w:rPr>
                <w:t xml:space="preserve">Admitted patient care NMDS 2020–21</w:t>
              </w:r>
            </w:hyperlink>
          </w:p>
          <w:p>
            <w:pPr>
              <w:pStyle w:val="registration-status"/>
              <w:spacing w:before="0" w:after="0"/>
            </w:pPr>
            <w:hyperlink w:history="true" r:id="R523bd9e5f38942b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reported if the episode of care results in more than one diagnosis code being allocated.</w:t>
            </w:r>
          </w:p>
          <w:p>
            <w:r>
              <w:br/>
            </w:r>
            <w:r>
              <w:rPr>
                <w:rStyle w:val="row-content"/>
                <w:b/>
                <w:i/>
              </w:rPr>
              <w:t xml:space="preserve">DSS specific information: </w:t>
            </w:r>
          </w:p>
          <w:p>
            <w:r>
              <w:rPr>
                <w:rStyle w:val="row-content"/>
              </w:rPr>
              <w:t xml:space="preserve">An unlimited number of diagnosis and procedure codes should be able to be collected in hospital morbidity systems. Where this is not possible, a minimum of 20 codes should be able to be collected.</w:t>
            </w:r>
          </w:p>
          <w:p>
            <w:r>
              <w:br/>
            </w:r>
            <w:r>
              <w:br/>
            </w:r>
            <w:hyperlink w:history="true" r:id="R5367476059464fff">
              <w:r>
                <w:rPr>
                  <w:rStyle w:val="Hyperlink"/>
                </w:rPr>
                <w:t xml:space="preserve">Admitted patient care NMDS 2021–22</w:t>
              </w:r>
            </w:hyperlink>
          </w:p>
          <w:p>
            <w:pPr>
              <w:pStyle w:val="registration-status"/>
              <w:spacing w:before="0" w:after="0"/>
            </w:pPr>
            <w:hyperlink w:history="true" r:id="Rd872a7feccdb4dd3">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reported if the episode of care results in more than one diagnosis code being allocated.</w:t>
            </w:r>
          </w:p>
          <w:p>
            <w:r>
              <w:br/>
            </w:r>
            <w:r>
              <w:rPr>
                <w:rStyle w:val="row-content"/>
                <w:b/>
                <w:i/>
              </w:rPr>
              <w:t xml:space="preserve">DSS specific information: </w:t>
            </w:r>
          </w:p>
          <w:p>
            <w:r>
              <w:rPr>
                <w:rStyle w:val="row-content"/>
              </w:rPr>
              <w:t xml:space="preserve">An unlimited number of diagnosis and procedure codes should be able to be collected in hospital morbidity systems. Where this is not possible, a minimum of 20 codes should be able to be collected.</w:t>
            </w:r>
          </w:p>
          <w:p>
            <w:r>
              <w:br/>
            </w:r>
            <w:r>
              <w:br/>
            </w:r>
            <w:hyperlink w:history="true" r:id="R36459913f715494e">
              <w:r>
                <w:rPr>
                  <w:rStyle w:val="Hyperlink"/>
                </w:rPr>
                <w:t xml:space="preserve">Allied health admitted patient care NBPDS</w:t>
              </w:r>
            </w:hyperlink>
          </w:p>
          <w:p>
            <w:pPr>
              <w:pStyle w:val="registration-status"/>
              <w:spacing w:before="0" w:after="0"/>
            </w:pPr>
            <w:hyperlink w:history="true" r:id="R92704e559a12494e">
              <w:r>
                <w:rPr>
                  <w:rStyle w:val="Hyperlink"/>
                  <w:color w:val="244061"/>
                </w:rPr>
                <w:t xml:space="preserve">Health!</w:t>
              </w:r>
            </w:hyperlink>
            <w:r>
              <w:rPr>
                <w:rStyle w:val="row-content"/>
                <w:color w:val="244061"/>
              </w:rPr>
              <w:t xml:space="preserve">, Standard 12/12/2018</w:t>
            </w:r>
          </w:p>
          <w:p>
            <w:r>
              <w:br/>
            </w:r>
            <w:hyperlink w:history="true" r:id="R8db0121b88e54e45">
              <w:r>
                <w:rPr>
                  <w:rStyle w:val="Hyperlink"/>
                </w:rPr>
                <w:t xml:space="preserve">Residential mental health care NMDS 2019–20</w:t>
              </w:r>
            </w:hyperlink>
          </w:p>
          <w:p>
            <w:pPr>
              <w:pStyle w:val="registration-status"/>
              <w:spacing w:before="0" w:after="0"/>
            </w:pPr>
            <w:hyperlink w:history="true" r:id="R8fca1505779341f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eeaa323faf84a33">
              <w:r>
                <w:rPr>
                  <w:rStyle w:val="Hyperlink"/>
                </w:rPr>
                <w:t xml:space="preserve">Residential mental health care NMDS 2020–21</w:t>
              </w:r>
            </w:hyperlink>
          </w:p>
          <w:p>
            <w:pPr>
              <w:pStyle w:val="registration-status"/>
              <w:spacing w:before="0" w:after="0"/>
            </w:pPr>
            <w:hyperlink w:history="true" r:id="Rf26ac718a3004dbd">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953e56b659b4613">
              <w:r>
                <w:rPr>
                  <w:rStyle w:val="Hyperlink"/>
                </w:rPr>
                <w:t xml:space="preserve">Residential mental health care NMDS 2021–22</w:t>
              </w:r>
            </w:hyperlink>
          </w:p>
          <w:p>
            <w:pPr>
              <w:pStyle w:val="registration-status"/>
              <w:spacing w:before="0" w:after="0"/>
            </w:pPr>
            <w:hyperlink w:history="true" r:id="Rfd23e7de291f46e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0e2c62f572d4cf6">
              <w:r>
                <w:rPr>
                  <w:rStyle w:val="Hyperlink"/>
                </w:rPr>
                <w:t xml:space="preserve">Tasmanian Admitted Patient Data Set - 2019</w:t>
              </w:r>
            </w:hyperlink>
          </w:p>
          <w:p>
            <w:pPr>
              <w:pStyle w:val="registration-status"/>
              <w:spacing w:before="0" w:after="0"/>
            </w:pPr>
            <w:hyperlink w:history="true" r:id="R3257737e0e10495d">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4a101d5303f477c">
              <w:r>
                <w:rPr>
                  <w:rStyle w:val="Hyperlink"/>
                </w:rPr>
                <w:t xml:space="preserve">Tasmanian Admitted Patient Data Set - 2020</w:t>
              </w:r>
            </w:hyperlink>
          </w:p>
          <w:p>
            <w:pPr>
              <w:pStyle w:val="registration-status"/>
              <w:spacing w:before="0" w:after="0"/>
            </w:pPr>
            <w:hyperlink w:history="true" r:id="Rf5c3ad750b5e4103">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2cfe5ebc9734b4d">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2022</w:t>
              </w:r>
            </w:hyperlink>
          </w:p>
          <w:p>
            <w:pPr>
              <w:pStyle w:val="registration-status"/>
              <w:spacing w:before="0" w:after="0"/>
            </w:pPr>
            <w:hyperlink w:history="true" r:id="R06717e6fb9c5486a">
              <w:r>
                <w:rPr>
                  <w:rStyle w:val="Hyperlink"/>
                  <w:color w:val="244061"/>
                </w:rPr>
                <w:t xml:space="preserve">Health!</w:t>
              </w:r>
            </w:hyperlink>
            <w:r>
              <w:rPr>
                <w:rStyle w:val="row-content"/>
                <w:color w:val="244061"/>
              </w:rPr>
              <w:t xml:space="preserve">, Standard 24/09/2021</w:t>
            </w:r>
          </w:p>
          <w:p>
            <w:r>
              <w:br/>
            </w:r>
            <w:hyperlink w:history="true" r:id="R20438c32855c41a0">
              <w:r>
                <w:rPr>
                  <w:rStyle w:val="Hyperlink"/>
                </w:rPr>
                <w:t xml:space="preserve">National Healthcare Agreement: PI 18–Selected potentially preventable hospitalisations, 2022</w:t>
              </w:r>
            </w:hyperlink>
          </w:p>
          <w:p>
            <w:pPr>
              <w:pStyle w:val="registration-status"/>
              <w:spacing w:before="0" w:after="0"/>
            </w:pPr>
            <w:hyperlink w:history="true" r:id="R04b8fbd9de5b4b1a">
              <w:r>
                <w:rPr>
                  <w:rStyle w:val="Hyperlink"/>
                  <w:color w:val="244061"/>
                </w:rPr>
                <w:t xml:space="preserve">Health!</w:t>
              </w:r>
            </w:hyperlink>
            <w:r>
              <w:rPr>
                <w:rStyle w:val="row-content"/>
                <w:color w:val="244061"/>
              </w:rPr>
              <w:t xml:space="preserve">, Standard 24/09/2021</w:t>
            </w:r>
          </w:p>
          <w:p>
            <w:r>
              <w:br/>
            </w:r>
            <w:hyperlink w:history="true" r:id="R3bfd4c7dcf6b4e53">
              <w:r>
                <w:rPr>
                  <w:rStyle w:val="Hyperlink"/>
                </w:rPr>
                <w:t xml:space="preserve">National Healthcare Agreement: PI 27–Number of hospital patient days used by those eligible and waiting for residential aged care, 2022</w:t>
              </w:r>
            </w:hyperlink>
          </w:p>
          <w:p>
            <w:pPr>
              <w:pStyle w:val="registration-status"/>
              <w:spacing w:before="0" w:after="0"/>
            </w:pPr>
            <w:hyperlink w:history="true" r:id="Rca0b373b372a42ab">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4f453147f3934f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699606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cf4adece854f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453147f3934fe7" /><Relationship Type="http://schemas.openxmlformats.org/officeDocument/2006/relationships/header" Target="/word/header1.xml" Id="Rc422d42bf6324f20" /><Relationship Type="http://schemas.openxmlformats.org/officeDocument/2006/relationships/settings" Target="/word/settings.xml" Id="Rc14c163444a945f0" /><Relationship Type="http://schemas.openxmlformats.org/officeDocument/2006/relationships/styles" Target="/word/styles.xml" Id="Rcb8604cb63b9415e" /><Relationship Type="http://schemas.openxmlformats.org/officeDocument/2006/relationships/numbering" Target="/word/numbering.xml" Id="R7b5d04a562a249d6" /><Relationship Type="http://schemas.openxmlformats.org/officeDocument/2006/relationships/hyperlink" Target="https://meteor-uat.aihw.gov.au/RegistrationAuthority/17" TargetMode="External" Id="R2d5800f65ff04b59" /><Relationship Type="http://schemas.openxmlformats.org/officeDocument/2006/relationships/hyperlink" Target="https://meteor-uat.aihw.gov.au/RegistrationAuthority/14" TargetMode="External" Id="Rb6b51e8224f945b0" /><Relationship Type="http://schemas.openxmlformats.org/officeDocument/2006/relationships/hyperlink" Target="https://meteor-uat.aihw.gov.au/content/356590" TargetMode="External" Id="Ra9886383e3844a12" /><Relationship Type="http://schemas.openxmlformats.org/officeDocument/2006/relationships/hyperlink" Target="https://meteor-uat.aihw.gov.au/content/699551" TargetMode="External" Id="Rf86b1a2b80da4195" /><Relationship Type="http://schemas.openxmlformats.org/officeDocument/2006/relationships/hyperlink" Target="https://meteor-uat.aihw.gov.au/content/699536" TargetMode="External" Id="R59570e6959714279" /><Relationship Type="http://schemas.openxmlformats.org/officeDocument/2006/relationships/hyperlink" Target="https://meteor-uat.aihw.gov.au/content/680973" TargetMode="External" Id="R536654810f6d4c00" /><Relationship Type="http://schemas.openxmlformats.org/officeDocument/2006/relationships/hyperlink" Target="https://meteor-uat.aihw.gov.au/RegistrationAuthority/14" TargetMode="External" Id="R7ec40a4c1d2d415a" /><Relationship Type="http://schemas.openxmlformats.org/officeDocument/2006/relationships/hyperlink" Target="https://meteor-uat.aihw.gov.au/RegistrationAuthority/17" TargetMode="External" Id="R1ba6925f059947b9" /><Relationship Type="http://schemas.openxmlformats.org/officeDocument/2006/relationships/hyperlink" Target="https://meteor-uat.aihw.gov.au/content/746667" TargetMode="External" Id="Rd7ec656a9497408d" /><Relationship Type="http://schemas.openxmlformats.org/officeDocument/2006/relationships/hyperlink" Target="https://meteor-uat.aihw.gov.au/RegistrationAuthority/14" TargetMode="External" Id="R59c24e1d752c4e18" /><Relationship Type="http://schemas.openxmlformats.org/officeDocument/2006/relationships/hyperlink" Target="https://meteor-uat.aihw.gov.au/content/729933" TargetMode="External" Id="R3071d5902c2d46e5" /><Relationship Type="http://schemas.openxmlformats.org/officeDocument/2006/relationships/hyperlink" Target="https://meteor-uat.aihw.gov.au/RegistrationAuthority/17" TargetMode="External" Id="R699455b643324bdf" /><Relationship Type="http://schemas.openxmlformats.org/officeDocument/2006/relationships/hyperlink" Target="https://meteor-uat.aihw.gov.au/content/699609" TargetMode="External" Id="R2a69cca6d89c4506" /><Relationship Type="http://schemas.openxmlformats.org/officeDocument/2006/relationships/hyperlink" Target="https://meteor-uat.aihw.gov.au/RegistrationAuthority/14" TargetMode="External" Id="R5e395628d276469b" /><Relationship Type="http://schemas.openxmlformats.org/officeDocument/2006/relationships/hyperlink" Target="https://meteor-uat.aihw.gov.au/RegistrationAuthority/17" TargetMode="External" Id="Ra7fb737807754d31" /><Relationship Type="http://schemas.openxmlformats.org/officeDocument/2006/relationships/hyperlink" Target="https://meteor-uat.aihw.gov.au/content/699151" TargetMode="External" Id="Rc3bbfa5618f44cdc" /><Relationship Type="http://schemas.openxmlformats.org/officeDocument/2006/relationships/hyperlink" Target="https://meteor-uat.aihw.gov.au/RegistrationAuthority/14" TargetMode="External" Id="R95c557864a504bb2" /><Relationship Type="http://schemas.openxmlformats.org/officeDocument/2006/relationships/hyperlink" Target="https://meteor-uat.aihw.gov.au/content/715671" TargetMode="External" Id="R85fc5e71a9a24ac3" /><Relationship Type="http://schemas.openxmlformats.org/officeDocument/2006/relationships/hyperlink" Target="https://meteor-uat.aihw.gov.au/RegistrationAuthority/14" TargetMode="External" Id="R21ed39173c61436c" /><Relationship Type="http://schemas.openxmlformats.org/officeDocument/2006/relationships/hyperlink" Target="https://meteor-uat.aihw.gov.au/content/735108" TargetMode="External" Id="R718d7c5e6ffa42b4" /><Relationship Type="http://schemas.openxmlformats.org/officeDocument/2006/relationships/hyperlink" Target="https://meteor-uat.aihw.gov.au/RegistrationAuthority/14" TargetMode="External" Id="Re970a0be39a24495" /><Relationship Type="http://schemas.openxmlformats.org/officeDocument/2006/relationships/hyperlink" Target="https://meteor-uat.aihw.gov.au/content/743914" TargetMode="External" Id="Rd32fe9242b9842bc" /><Relationship Type="http://schemas.openxmlformats.org/officeDocument/2006/relationships/hyperlink" Target="https://meteor-uat.aihw.gov.au/RegistrationAuthority/17" TargetMode="External" Id="Rb500ecb8bd8245ea" /><Relationship Type="http://schemas.openxmlformats.org/officeDocument/2006/relationships/hyperlink" Target="https://meteor-uat.aihw.gov.au/content/699728" TargetMode="External" Id="R8011839ba91c40af" /><Relationship Type="http://schemas.openxmlformats.org/officeDocument/2006/relationships/hyperlink" Target="https://meteor-uat.aihw.gov.au/RegistrationAuthority/14" TargetMode="External" Id="Rbb3cc929ae2541ca" /><Relationship Type="http://schemas.openxmlformats.org/officeDocument/2006/relationships/hyperlink" Target="https://meteor-uat.aihw.gov.au/content/713850" TargetMode="External" Id="Rfab0fcb759104642" /><Relationship Type="http://schemas.openxmlformats.org/officeDocument/2006/relationships/hyperlink" Target="https://meteor-uat.aihw.gov.au/RegistrationAuthority/14" TargetMode="External" Id="R523bd9e5f38942b6" /><Relationship Type="http://schemas.openxmlformats.org/officeDocument/2006/relationships/hyperlink" Target="https://meteor-uat.aihw.gov.au/content/728439" TargetMode="External" Id="R5367476059464fff" /><Relationship Type="http://schemas.openxmlformats.org/officeDocument/2006/relationships/hyperlink" Target="https://meteor-uat.aihw.gov.au/RegistrationAuthority/14" TargetMode="External" Id="Rd872a7feccdb4dd3" /><Relationship Type="http://schemas.openxmlformats.org/officeDocument/2006/relationships/hyperlink" Target="https://meteor-uat.aihw.gov.au/content/705499" TargetMode="External" Id="R36459913f715494e" /><Relationship Type="http://schemas.openxmlformats.org/officeDocument/2006/relationships/hyperlink" Target="https://meteor-uat.aihw.gov.au/RegistrationAuthority/14" TargetMode="External" Id="R92704e559a12494e" /><Relationship Type="http://schemas.openxmlformats.org/officeDocument/2006/relationships/hyperlink" Target="https://meteor-uat.aihw.gov.au/content/707512" TargetMode="External" Id="R8db0121b88e54e45" /><Relationship Type="http://schemas.openxmlformats.org/officeDocument/2006/relationships/hyperlink" Target="https://meteor-uat.aihw.gov.au/RegistrationAuthority/14" TargetMode="External" Id="R8fca1505779341f4" /><Relationship Type="http://schemas.openxmlformats.org/officeDocument/2006/relationships/hyperlink" Target="https://meteor-uat.aihw.gov.au/content/722224" TargetMode="External" Id="R3eeaa323faf84a33" /><Relationship Type="http://schemas.openxmlformats.org/officeDocument/2006/relationships/hyperlink" Target="https://meteor-uat.aihw.gov.au/RegistrationAuthority/14" TargetMode="External" Id="Rf26ac718a3004dbd" /><Relationship Type="http://schemas.openxmlformats.org/officeDocument/2006/relationships/hyperlink" Target="https://meteor-uat.aihw.gov.au/content/727354" TargetMode="External" Id="R1953e56b659b4613" /><Relationship Type="http://schemas.openxmlformats.org/officeDocument/2006/relationships/hyperlink" Target="https://meteor-uat.aihw.gov.au/RegistrationAuthority/14" TargetMode="External" Id="Rfd23e7de291f46e4" /><Relationship Type="http://schemas.openxmlformats.org/officeDocument/2006/relationships/hyperlink" Target="https://meteor-uat.aihw.gov.au/content/715026" TargetMode="External" Id="Re0e2c62f572d4cf6" /><Relationship Type="http://schemas.openxmlformats.org/officeDocument/2006/relationships/hyperlink" Target="https://meteor-uat.aihw.gov.au/RegistrationAuthority/17" TargetMode="External" Id="R3257737e0e10495d" /><Relationship Type="http://schemas.openxmlformats.org/officeDocument/2006/relationships/hyperlink" Target="https://meteor-uat.aihw.gov.au/content/729751" TargetMode="External" Id="R44a101d5303f477c" /><Relationship Type="http://schemas.openxmlformats.org/officeDocument/2006/relationships/hyperlink" Target="https://meteor-uat.aihw.gov.au/RegistrationAuthority/17" TargetMode="External" Id="Rf5c3ad750b5e4103" /><Relationship Type="http://schemas.openxmlformats.org/officeDocument/2006/relationships/hyperlink" Target="https://meteor-uat.aihw.gov.au/content/740898" TargetMode="External" Id="R62cfe5ebc9734b4d" /><Relationship Type="http://schemas.openxmlformats.org/officeDocument/2006/relationships/hyperlink" Target="https://meteor-uat.aihw.gov.au/RegistrationAuthority/14" TargetMode="External" Id="R06717e6fb9c5486a" /><Relationship Type="http://schemas.openxmlformats.org/officeDocument/2006/relationships/hyperlink" Target="https://meteor-uat.aihw.gov.au/content/740851" TargetMode="External" Id="R20438c32855c41a0" /><Relationship Type="http://schemas.openxmlformats.org/officeDocument/2006/relationships/hyperlink" Target="https://meteor-uat.aihw.gov.au/RegistrationAuthority/14" TargetMode="External" Id="R04b8fbd9de5b4b1a" /><Relationship Type="http://schemas.openxmlformats.org/officeDocument/2006/relationships/hyperlink" Target="https://meteor-uat.aihw.gov.au/content/740822" TargetMode="External" Id="R3bfd4c7dcf6b4e53" /><Relationship Type="http://schemas.openxmlformats.org/officeDocument/2006/relationships/hyperlink" Target="https://meteor-uat.aihw.gov.au/RegistrationAuthority/14" TargetMode="External" Id="Rca0b373b372a42ab" /></Relationships>
</file>

<file path=word/_rels/header1.xml.rels>&#65279;<?xml version="1.0" encoding="utf-8"?><Relationships xmlns="http://schemas.openxmlformats.org/package/2006/relationships"><Relationship Type="http://schemas.openxmlformats.org/officeDocument/2006/relationships/image" Target="/media/image.png" Id="Rf8cf4adece854fb7" /></Relationships>
</file>