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b0514b2b944a4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c9d653bf364af8">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in Year 1 to Year 10 who attend school 90% or more of the time, by Indigenous status.</w:t>
            </w:r>
          </w:p>
          <w:p>
            <w:pPr/>
            <w:r>
              <w:rPr>
                <w:rStyle w:val="row-content-rich-text"/>
              </w:rPr>
              <w:t xml:space="preserve">Supplementary measure (c) Number and proportion of schools achieving 90%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ac725ff8254e09">
              <w:r>
                <w:rPr>
                  <w:rStyle w:val="Hyperlink"/>
                </w:rPr>
                <w:t xml:space="preserve">National Indigenous Reform Agreement (2019)</w:t>
              </w:r>
            </w:hyperlink>
          </w:p>
          <w:p>
            <w:pPr>
              <w:pStyle w:val="registration-status"/>
              <w:spacing w:before="0" w:after="0"/>
            </w:pPr>
            <w:hyperlink w:history="true" r:id="R8ff5aa5b653f4ced">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07e5c4285840ba">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3a577fceb3e5436f">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2eee3d9647c4634">
              <w:r>
                <w:rPr>
                  <w:rStyle w:val="Hyperlink"/>
                </w:rPr>
                <w:t xml:space="preserve">National Indigenous Reform Agreement: PI 13-Attendance rates Year 1 to Year 10, 2019; Quality Statement</w:t>
              </w:r>
            </w:hyperlink>
          </w:p>
          <w:p>
            <w:pPr>
              <w:pStyle w:val="registration-status"/>
              <w:spacing w:before="0" w:after="0"/>
            </w:pPr>
            <w:hyperlink w:history="true" r:id="Rc28c84a769e64c11">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100 x (Numerator ÷ Denominator)</w:t>
            </w:r>
          </w:p>
          <w:p>
            <w:pPr>
              <w:spacing w:after="160"/>
            </w:pPr>
            <w:r>
              <w:rPr>
                <w:rStyle w:val="row-content-rich-text"/>
              </w:rPr>
              <w:t xml:space="preserve">Measure (b):</w:t>
            </w:r>
          </w:p>
          <w:p>
            <w:pPr>
              <w:spacing w:after="160"/>
            </w:pPr>
            <w:r>
              <w:rPr>
                <w:rStyle w:val="row-content-rich-text"/>
              </w:rPr>
              <w:t xml:space="preserve">Numerator ÷ Denominator</w:t>
            </w:r>
          </w:p>
          <w:p>
            <w:pPr>
              <w:spacing w:after="160"/>
            </w:pPr>
            <w:r>
              <w:rPr>
                <w:rStyle w:val="row-content-rich-text"/>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actual days in attendance in the collection period, for children in Years 1–10 by Indigenous status (children enrolled full time only) (Section 6.7; ACARA 2015).</w:t>
            </w:r>
          </w:p>
          <w:p>
            <w:pPr>
              <w:spacing w:after="160"/>
            </w:pPr>
            <w:r>
              <w:rPr>
                <w:rStyle w:val="row-content-rich-text"/>
              </w:rPr>
              <w:t xml:space="preserve">Measure (b):</w:t>
            </w:r>
          </w:p>
          <w:p>
            <w:pPr>
              <w:spacing w:after="160"/>
            </w:pPr>
            <w:r>
              <w:rPr>
                <w:rStyle w:val="row-content-rich-text"/>
              </w:rPr>
              <w:t xml:space="preserve">Sum of possible school days for students attending more than or equal to 90% of possible days in the collection period, for children in Years 1–10 by Indigenous status (children enrolled full time only) (Section 6.7; ACARA 2015).</w:t>
            </w:r>
          </w:p>
          <w:p>
            <w:pPr>
              <w:spacing w:after="160"/>
            </w:pPr>
            <w:r>
              <w:rPr>
                <w:rStyle w:val="row-content-rich-text"/>
              </w:rPr>
              <w:t xml:space="preserve">Measure (c):</w:t>
            </w:r>
          </w:p>
          <w:p>
            <w:pPr>
              <w:spacing w:after="160"/>
            </w:pPr>
            <w:r>
              <w:rPr>
                <w:rStyle w:val="row-content-rich-text"/>
              </w:rPr>
              <w:t xml:space="preserve">Indigenous: Aggregate number of schools for which the average attendance rate for Indigenous students in Years 1–10 is 90% or more.</w:t>
            </w:r>
          </w:p>
          <w:p>
            <w:pPr/>
            <w:r>
              <w:rPr>
                <w:rStyle w:val="row-content-rich-text"/>
              </w:rPr>
              <w:t xml:space="preserve">Non-Indigenous: Aggregate number of schools for which the average attendance rate for non-Indigenous students in Years 1–10 is 90%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Actual days of school attendance.</w:t>
            </w:r>
          </w:p>
          <w:p>
            <w:r>
              <w:rPr>
                <w:rStyle w:val="row-content"/>
                <w:b/>
              </w:rPr>
              <w:t xml:space="preserve">Data Source</w:t>
            </w:r>
          </w:p>
          <w:p>
            <w:hyperlink w:history="true" r:id="R884b0d8089f94d2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non-Indigenous students in Years 1–10 attended on average 90% or more of the time.</w:t>
            </w:r>
          </w:p>
          <w:p>
            <w:r>
              <w:rPr>
                <w:rStyle w:val="row-content"/>
                <w:b/>
              </w:rPr>
              <w:t xml:space="preserve">Data Source</w:t>
            </w:r>
          </w:p>
          <w:p>
            <w:hyperlink w:history="true" r:id="R0ba6fca012bb49f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whose Indigenous students in Years 1–10 attended on average 90% or more of the time.</w:t>
            </w:r>
          </w:p>
          <w:p>
            <w:r>
              <w:rPr>
                <w:rStyle w:val="row-content"/>
                <w:b/>
              </w:rPr>
              <w:t xml:space="preserve">Data Source</w:t>
            </w:r>
          </w:p>
          <w:p>
            <w:hyperlink w:history="true" r:id="R6b37910f35b440d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who attend 90% or more of actual days of school.</w:t>
            </w:r>
          </w:p>
          <w:p>
            <w:r>
              <w:rPr>
                <w:rStyle w:val="row-content"/>
                <w:b/>
              </w:rPr>
              <w:t xml:space="preserve">Data Source</w:t>
            </w:r>
          </w:p>
          <w:p>
            <w:hyperlink w:history="true" r:id="Rccbda6ebe119443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91709bee5e41425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Aggregate number of possible days for attendance in the collection period, for children in Years 1–10 by Indigenous status (children enrolled full time only) (Section 6.3; ACARA 2015).</w:t>
            </w:r>
          </w:p>
          <w:p>
            <w:pPr>
              <w:spacing w:after="160"/>
            </w:pPr>
            <w:r>
              <w:rPr>
                <w:rStyle w:val="row-content-rich-text"/>
              </w:rPr>
              <w:t xml:space="preserve">Measure (b):</w:t>
            </w:r>
          </w:p>
          <w:p>
            <w:pPr>
              <w:spacing w:after="160"/>
            </w:pPr>
            <w:r>
              <w:rPr>
                <w:rStyle w:val="row-content-rich-text"/>
              </w:rPr>
              <w:t xml:space="preserve">Sum of possible school days (the days each student is expected to attend) for all students in the collection period, for children in Years 1–10 by Indigenous status (children enrolled full time only) (Section 6.3; ACARA 2015).</w:t>
            </w:r>
          </w:p>
          <w:p>
            <w:pPr>
              <w:spacing w:after="160"/>
            </w:pPr>
            <w:r>
              <w:rPr>
                <w:rStyle w:val="row-content-rich-text"/>
              </w:rPr>
              <w:t xml:space="preserve">Measure (c):</w:t>
            </w:r>
          </w:p>
          <w:p>
            <w:pPr>
              <w:spacing w:after="160"/>
            </w:pPr>
            <w:r>
              <w:rPr>
                <w:rStyle w:val="row-content-rich-text"/>
              </w:rPr>
              <w:t xml:space="preserve">Indigenous: Aggregate number of schools reporting Indigenous student attendance rates for Years 1–10.</w:t>
            </w:r>
          </w:p>
          <w:p>
            <w:pPr/>
            <w:r>
              <w:rPr>
                <w:rStyle w:val="row-content-rich-text"/>
              </w:rPr>
              <w:t xml:space="preserve">Non-Indigenous: Aggregate number of schools reporting non-Indigenous student attendance rates for Years 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schools reporting Indigenous student attendance rates for Years 1-10.</w:t>
            </w:r>
          </w:p>
          <w:p>
            <w:r>
              <w:rPr>
                <w:rStyle w:val="row-content"/>
                <w:b/>
              </w:rPr>
              <w:t xml:space="preserve">Data Source</w:t>
            </w:r>
          </w:p>
          <w:p>
            <w:hyperlink w:history="true" r:id="Rf428fe6aa23a462e">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schools reporting non-Indigenous student attendance rates for Years 1-10.</w:t>
            </w:r>
          </w:p>
          <w:p>
            <w:r>
              <w:rPr>
                <w:rStyle w:val="row-content"/>
                <w:b/>
              </w:rPr>
              <w:t xml:space="preserve">Data Source</w:t>
            </w:r>
          </w:p>
          <w:p>
            <w:hyperlink w:history="true" r:id="Rf499dfb2d4d04e2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Number of students possible for attendance in the collection period.</w:t>
            </w:r>
          </w:p>
          <w:p>
            <w:r>
              <w:rPr>
                <w:rStyle w:val="row-content"/>
                <w:b/>
              </w:rPr>
              <w:t xml:space="preserve">Data Source</w:t>
            </w:r>
          </w:p>
          <w:p>
            <w:hyperlink w:history="true" r:id="R1b9857b56b23489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Possible days of school attendance.</w:t>
            </w:r>
          </w:p>
          <w:p>
            <w:r>
              <w:rPr>
                <w:rStyle w:val="row-content"/>
                <w:b/>
              </w:rPr>
              <w:t xml:space="preserve">Data Source</w:t>
            </w:r>
          </w:p>
          <w:p>
            <w:hyperlink w:history="true" r:id="R8fb29486d896484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attendance status.</w:t>
            </w:r>
          </w:p>
          <w:p>
            <w:r>
              <w:rPr>
                <w:rStyle w:val="row-content"/>
                <w:b/>
              </w:rPr>
              <w:t xml:space="preserve">Data Source</w:t>
            </w:r>
          </w:p>
          <w:p>
            <w:hyperlink w:history="true" r:id="R7e0ee324666d422d">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p>
          <w:p>
            <w:pPr>
              <w:pStyle w:val="ListParagraph"/>
              <w:numPr>
                <w:ilvl w:val="0"/>
                <w:numId w:val="2"/>
              </w:numPr>
            </w:pPr>
            <w:r>
              <w:rPr>
                <w:rStyle w:val="row-content-rich-text"/>
              </w:rPr>
              <w:t xml:space="preserve">Year level (1–10 individually), by school sector (government, Catholic, independent)</w:t>
            </w:r>
          </w:p>
          <w:p>
            <w:pPr>
              <w:spacing w:after="160"/>
            </w:pPr>
            <w:r>
              <w:rPr>
                <w:rStyle w:val="row-content-rich-text"/>
              </w:rPr>
              <w:t xml:space="preserve">Measure (b):</w:t>
            </w:r>
          </w:p>
          <w:p>
            <w:pPr>
              <w:spacing w:after="160"/>
            </w:pPr>
            <w:r>
              <w:rPr>
                <w:rStyle w:val="row-content-rich-text"/>
              </w:rPr>
              <w:t xml:space="preserve">National and state/territory, by Indigenous status, by</w:t>
            </w:r>
          </w:p>
          <w:p>
            <w:pPr>
              <w:pStyle w:val="ListParagraph"/>
              <w:numPr>
                <w:ilvl w:val="0"/>
                <w:numId w:val="3"/>
              </w:numPr>
            </w:pPr>
            <w:r>
              <w:rPr>
                <w:rStyle w:val="row-content-rich-text"/>
              </w:rPr>
              <w:t xml:space="preserve">Combined year levels for government sector, by remoteness </w:t>
            </w:r>
          </w:p>
          <w:p>
            <w:pPr>
              <w:pStyle w:val="ListParagraph"/>
              <w:numPr>
                <w:ilvl w:val="0"/>
                <w:numId w:val="3"/>
              </w:numPr>
            </w:pPr>
            <w:r>
              <w:rPr>
                <w:rStyle w:val="row-content-rich-text"/>
              </w:rPr>
              <w:t xml:space="preserve">Combined year levels for non-government sector, by remoteness</w:t>
            </w:r>
          </w:p>
          <w:p>
            <w:pPr>
              <w:spacing w:after="160"/>
            </w:pPr>
            <w:r>
              <w:rPr>
                <w:rStyle w:val="row-content-rich-text"/>
              </w:rPr>
              <w:t xml:space="preserve">Measure (c):</w:t>
            </w:r>
          </w:p>
          <w:p>
            <w:pPr>
              <w:spacing w:after="160"/>
            </w:pPr>
            <w:r>
              <w:rPr>
                <w:rStyle w:val="row-content-rich-text"/>
              </w:rPr>
              <w:t xml:space="preserve">National and state/territory, by Indigenous status, by</w:t>
            </w:r>
          </w:p>
          <w:p>
            <w:pPr>
              <w:pStyle w:val="ListParagraph"/>
              <w:numPr>
                <w:ilvl w:val="0"/>
                <w:numId w:val="4"/>
              </w:numPr>
            </w:pPr>
            <w:r>
              <w:rPr>
                <w:rStyle w:val="row-content-rich-text"/>
              </w:rPr>
              <w:t xml:space="preserve">Combined year levels and sectors (government and non-government),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62a1986053964488">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2c5eaabb01474233">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sector.</w:t>
            </w:r>
          </w:p>
          <w:p>
            <w:r>
              <w:rPr>
                <w:rStyle w:val="row-content"/>
                <w:b/>
              </w:rPr>
              <w:t xml:space="preserve">Data Source</w:t>
            </w:r>
          </w:p>
          <w:p>
            <w:hyperlink w:history="true" r:id="R1c32f3e186f2422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rPr>
              <w:t xml:space="preserve">School year level.</w:t>
            </w:r>
          </w:p>
          <w:p>
            <w:r>
              <w:rPr>
                <w:rStyle w:val="row-content"/>
                <w:b/>
              </w:rPr>
              <w:t xml:space="preserve">Data Source</w:t>
            </w:r>
          </w:p>
          <w:p>
            <w:hyperlink w:history="true" r:id="R42655145ffd84d79">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(2017–18 reporting cycle) are for 2018. Data are available from 2014 onwards for measure (a) and from 2015 onwards for measures (b) and (c).</w:t>
            </w:r>
          </w:p>
          <w:p>
            <w:pPr>
              <w:spacing w:after="160"/>
            </w:pPr>
            <w:r>
              <w:rPr>
                <w:rStyle w:val="row-content-rich-text"/>
              </w:rPr>
              <w:t xml:space="preserve">Data availability:</w:t>
            </w:r>
          </w:p>
          <w:p>
            <w:pPr>
              <w:spacing w:after="160"/>
            </w:pPr>
            <w:r>
              <w:rPr>
                <w:rStyle w:val="row-content-rich-text"/>
              </w:rPr>
              <w:t xml:space="preserve">Measure (a) 2018 (Semester 1).</w:t>
            </w:r>
          </w:p>
          <w:p>
            <w:pPr>
              <w:spacing w:after="160"/>
            </w:pPr>
            <w:r>
              <w:rPr>
                <w:rStyle w:val="row-content-rich-text"/>
              </w:rPr>
              <w:t xml:space="preserve">Measures (b) and (c) 2018 (Semester 1).</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the Council of Australian Governments' (COAG) NIRA target (Close the gap between Indigenous and non-Indigenous school attendance within 5 years) is 2014 (Semester 1); target year is 2018 (Semester 1 2019).</w:t>
            </w:r>
          </w:p>
          <w:p>
            <w:pPr>
              <w:spacing w:after="160"/>
            </w:pPr>
            <w:r>
              <w:rPr>
                <w:rStyle w:val="row-content-rich-text"/>
              </w:rPr>
              <w:t xml:space="preserve">In May 2014, the COAG agreed to a new target to close the gap between Indigenous and non-Indigenous school attendance within 5 years (by the end of 2018). COAG also agreed that the main measure to monitor the target would be the overall attendance rates for Year 1 to Year 10 by Indigenous status and remoteness.</w:t>
            </w:r>
          </w:p>
          <w:p>
            <w:pPr>
              <w:spacing w:after="160"/>
            </w:pPr>
            <w:r>
              <w:rPr>
                <w:rStyle w:val="row-content-rich-text"/>
              </w:rPr>
              <w:t xml:space="preserve">Prior to 2014, no national school attendance rates were published for Indigenous and non-Indigenous students, nor were overall rates published for each jurisdiction. Data were published for each year level (1 to 10) for each jurisdiction for the three sectors (government, Catholic and independent). For practical reasons it was decided that the gap at the overall national level and gap for each of the 8 jurisdictions should be monitored. Under this approach, an overall attendance rate for Years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 with New South Wales government schools adopting the standards in 2018.</w:t>
            </w:r>
          </w:p>
          <w:p>
            <w:pPr>
              <w:spacing w:after="160"/>
            </w:pPr>
            <w:r>
              <w:rPr>
                <w:rStyle w:val="row-content-rich-text"/>
              </w:rPr>
              <w:t xml:space="preserve">Additional reporting by remoteness areas (within state and territory jurisdiction, and at national level using the education standard categories) provides a useful context for monitoring where gains are being made. Data are reported by remoteness using the Ministerial Council on Education, Early Childhood Development and Youth Affairs (MCEEDYA) geo-location classification for 2014 and 2015 data, and the Australian Bureau of Statistics Australian Statistical Geography Standard for 2016 data onwards.</w:t>
            </w:r>
          </w:p>
          <w:p>
            <w:pPr>
              <w:spacing w:after="160"/>
            </w:pPr>
            <w:r>
              <w:rPr>
                <w:rStyle w:val="row-content-rich-text"/>
              </w:rPr>
              <w:t xml:space="preserve">While measuring progress against this target using data across Years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comparable with data for non-government schools from 2016 onwards.</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w:t>
            </w:r>
          </w:p>
          <w:p>
            <w:pPr>
              <w:spacing w:after="160"/>
            </w:pPr>
            <w:r>
              <w:rPr>
                <w:rStyle w:val="row-content-rich-text"/>
              </w:rPr>
              <w:t xml:space="preserve">Similarly, if either of the Indigenous and non-Indigenous attendance rates is based on less than 6 students, then neither rate is collected. The result is that around 30% of schools will not have either rate. As with the total student attendance rate, schools not reporting the Indigenous and non-Indigenous attendance rates will be excluded from both the numerator and denominator for the proportion of schools above 90% attendance rates.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197e0c930a4ee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fb754ca1b04994">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COAG Education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d6d23b423d4db9">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National standards for student attendance data reporting 2015. 2nd edn. Sydney: ACARA. Viewed 22 June 2017, </w:t>
            </w:r>
            <w:hyperlink w:history="true" r:id="Rdd0382d07b3b440f">
              <w:r>
                <w:rPr>
                  <w:rStyle w:val="Hyperlink"/>
                </w:rPr>
                <w:t xml:space="preserve">https://acaraweb.blob.core.windows.net/acaraweb/docs/default-source/assessment-and-reporting-publications/2016115-national-standards-for-student-attendance-reporting.pdf?sfvrsn=2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165035cb7841b5">
              <w:r>
                <w:rPr>
                  <w:rStyle w:val="Hyperlink"/>
                </w:rPr>
                <w:t xml:space="preserve">National Indigenous Reform Agreement: PI 13-Attendance rates Year 1 to Year 10, 2018</w:t>
              </w:r>
            </w:hyperlink>
          </w:p>
          <w:p>
            <w:pPr>
              <w:pStyle w:val="registration-status"/>
              <w:spacing w:before="0" w:after="0"/>
            </w:pPr>
            <w:hyperlink w:history="true" r:id="Re99b27bab43a428b">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4a4b9ecba15e41cd">
              <w:r>
                <w:rPr>
                  <w:rStyle w:val="Hyperlink"/>
                </w:rPr>
                <w:t xml:space="preserve">National Indigenous Reform Agreement: PI 13-Attendance rates Year 1 to Year 10, 2020</w:t>
              </w:r>
            </w:hyperlink>
          </w:p>
          <w:p>
            <w:pPr>
              <w:pStyle w:val="registration-status"/>
              <w:spacing w:before="0" w:after="0"/>
            </w:pPr>
            <w:hyperlink w:history="true" r:id="Rdcd13741e06944e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63eb251a74443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4816394ff345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3eb251a744437c" /><Relationship Type="http://schemas.openxmlformats.org/officeDocument/2006/relationships/header" Target="/word/header1.xml" Id="R304f74396beb4d77" /><Relationship Type="http://schemas.openxmlformats.org/officeDocument/2006/relationships/settings" Target="/word/settings.xml" Id="Re9c4b5e9670c412e" /><Relationship Type="http://schemas.openxmlformats.org/officeDocument/2006/relationships/styles" Target="/word/styles.xml" Id="R72a81e44c2db4129" /><Relationship Type="http://schemas.openxmlformats.org/officeDocument/2006/relationships/numbering" Target="/word/numbering.xml" Id="R221189fe3800433d" /><Relationship Type="http://schemas.openxmlformats.org/officeDocument/2006/relationships/hyperlink" Target="https://meteor-uat.aihw.gov.au/RegistrationAuthority/9" TargetMode="External" Id="Rfbc9d653bf364af8" /><Relationship Type="http://schemas.openxmlformats.org/officeDocument/2006/relationships/hyperlink" Target="https://meteor-uat.aihw.gov.au/content/697092" TargetMode="External" Id="Rc4ac725ff8254e09" /><Relationship Type="http://schemas.openxmlformats.org/officeDocument/2006/relationships/hyperlink" Target="https://meteor-uat.aihw.gov.au/RegistrationAuthority/9" TargetMode="External" Id="R8ff5aa5b653f4ced" /><Relationship Type="http://schemas.openxmlformats.org/officeDocument/2006/relationships/hyperlink" Target="https://meteor-uat.aihw.gov.au/content/645884" TargetMode="External" Id="Rc607e5c4285840ba" /><Relationship Type="http://schemas.openxmlformats.org/officeDocument/2006/relationships/hyperlink" Target="https://meteor-uat.aihw.gov.au/RegistrationAuthority/9" TargetMode="External" Id="R3a577fceb3e5436f" /><Relationship Type="http://schemas.openxmlformats.org/officeDocument/2006/relationships/hyperlink" Target="https://meteor-uat.aihw.gov.au/content/711085" TargetMode="External" Id="R32eee3d9647c4634" /><Relationship Type="http://schemas.openxmlformats.org/officeDocument/2006/relationships/hyperlink" Target="https://meteor-uat.aihw.gov.au/RegistrationAuthority/9" TargetMode="External" Id="Rc28c84a769e64c11" /><Relationship Type="http://schemas.openxmlformats.org/officeDocument/2006/relationships/hyperlink" Target="https://meteor-uat.aihw.gov.au/content/493515" TargetMode="External" Id="R884b0d8089f94d29" /><Relationship Type="http://schemas.openxmlformats.org/officeDocument/2006/relationships/hyperlink" Target="https://meteor-uat.aihw.gov.au/content/493515" TargetMode="External" Id="R0ba6fca012bb49f1" /><Relationship Type="http://schemas.openxmlformats.org/officeDocument/2006/relationships/hyperlink" Target="https://meteor-uat.aihw.gov.au/content/493515" TargetMode="External" Id="R6b37910f35b440d2" /><Relationship Type="http://schemas.openxmlformats.org/officeDocument/2006/relationships/hyperlink" Target="https://meteor-uat.aihw.gov.au/content/493515" TargetMode="External" Id="Rccbda6ebe119443e" /><Relationship Type="http://schemas.openxmlformats.org/officeDocument/2006/relationships/hyperlink" Target="https://meteor-uat.aihw.gov.au/content/493515" TargetMode="External" Id="R91709bee5e414252" /><Relationship Type="http://schemas.openxmlformats.org/officeDocument/2006/relationships/hyperlink" Target="https://meteor-uat.aihw.gov.au/content/493515" TargetMode="External" Id="Rf428fe6aa23a462e" /><Relationship Type="http://schemas.openxmlformats.org/officeDocument/2006/relationships/hyperlink" Target="https://meteor-uat.aihw.gov.au/content/493515" TargetMode="External" Id="Rf499dfb2d4d04e20" /><Relationship Type="http://schemas.openxmlformats.org/officeDocument/2006/relationships/hyperlink" Target="https://meteor-uat.aihw.gov.au/content/493515" TargetMode="External" Id="R1b9857b56b23489f" /><Relationship Type="http://schemas.openxmlformats.org/officeDocument/2006/relationships/hyperlink" Target="https://meteor-uat.aihw.gov.au/content/493515" TargetMode="External" Id="R8fb29486d8964842" /><Relationship Type="http://schemas.openxmlformats.org/officeDocument/2006/relationships/hyperlink" Target="https://meteor-uat.aihw.gov.au/content/493515" TargetMode="External" Id="R7e0ee324666d422d" /><Relationship Type="http://schemas.openxmlformats.org/officeDocument/2006/relationships/hyperlink" Target="https://meteor-uat.aihw.gov.au/content/493515" TargetMode="External" Id="R62a1986053964488" /><Relationship Type="http://schemas.openxmlformats.org/officeDocument/2006/relationships/hyperlink" Target="https://meteor-uat.aihw.gov.au/content/493515" TargetMode="External" Id="R2c5eaabb01474233" /><Relationship Type="http://schemas.openxmlformats.org/officeDocument/2006/relationships/hyperlink" Target="https://meteor-uat.aihw.gov.au/content/493515" TargetMode="External" Id="R1c32f3e186f2422f" /><Relationship Type="http://schemas.openxmlformats.org/officeDocument/2006/relationships/hyperlink" Target="https://meteor-uat.aihw.gov.au/content/493515" TargetMode="External" Id="R42655145ffd84d79" /><Relationship Type="http://schemas.openxmlformats.org/officeDocument/2006/relationships/hyperlink" Target="https://meteor-uat.aihw.gov.au/content/410674" TargetMode="External" Id="Rb6197e0c930a4ee0" /><Relationship Type="http://schemas.openxmlformats.org/officeDocument/2006/relationships/hyperlink" Target="https://meteor-uat.aihw.gov.au/content/493515" TargetMode="External" Id="Rc7fb754ca1b04994" /><Relationship Type="http://schemas.openxmlformats.org/officeDocument/2006/relationships/hyperlink" Target="https://meteor-uat.aihw.gov.au/content/410271" TargetMode="External" Id="R9ed6d23b423d4db9" /><Relationship Type="http://schemas.openxmlformats.org/officeDocument/2006/relationships/hyperlink" Target="https://acaraweb.blob.core.windows.net/acaraweb/docs/default-source/assessment-and-reporting-publications/2016115-national-standards-for-student-attendance-reporting.pdf?sfvrsn=2" TargetMode="External" Id="Rdd0382d07b3b440f" /><Relationship Type="http://schemas.openxmlformats.org/officeDocument/2006/relationships/hyperlink" Target="https://meteor-uat.aihw.gov.au/content/668651" TargetMode="External" Id="R49165035cb7841b5" /><Relationship Type="http://schemas.openxmlformats.org/officeDocument/2006/relationships/hyperlink" Target="https://meteor-uat.aihw.gov.au/RegistrationAuthority/9" TargetMode="External" Id="Re99b27bab43a428b" /><Relationship Type="http://schemas.openxmlformats.org/officeDocument/2006/relationships/hyperlink" Target="https://meteor-uat.aihw.gov.au/content/718498" TargetMode="External" Id="R4a4b9ecba15e41cd" /><Relationship Type="http://schemas.openxmlformats.org/officeDocument/2006/relationships/hyperlink" Target="https://meteor-uat.aihw.gov.au/RegistrationAuthority/9" TargetMode="External" Id="Rdcd13741e06944e3" /></Relationships>
</file>

<file path=word/_rels/header1.xml.rels>&#65279;<?xml version="1.0" encoding="utf-8"?><Relationships xmlns="http://schemas.openxmlformats.org/package/2006/relationships"><Relationship Type="http://schemas.openxmlformats.org/officeDocument/2006/relationships/image" Target="/media/image.png" Id="Rf54816394ff34560" /></Relationships>
</file>