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468b81ec2b43e7"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result recorded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CVD risk assessment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Absolute CVD risk assessment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eb85db1b9b47d4">
              <w:r>
                <w:rPr>
                  <w:rStyle w:val="Hyperlink"/>
                  <w:color w:val="244061"/>
                </w:rPr>
                <w:t xml:space="preserve">Health!</w:t>
              </w:r>
            </w:hyperlink>
            <w:r>
              <w:rPr>
                <w:rStyle w:val="row-content"/>
                <w:color w:val="244061"/>
              </w:rPr>
              <w:t xml:space="preserve">, Standard 06/09/2018</w:t>
            </w:r>
          </w:p>
          <w:p>
            <w:pPr>
              <w:spacing w:before="0" w:after="0"/>
            </w:pPr>
            <w:hyperlink w:history="true" r:id="Rb69fa9e149ea41d0">
              <w:r>
                <w:rPr>
                  <w:rStyle w:val="Hyperlink"/>
                  <w:color w:val="244061"/>
                </w:rPr>
                <w:t xml:space="preserve">Indigenous</w:t>
              </w:r>
            </w:hyperlink>
            <w:r>
              <w:rPr>
                <w:rStyle w:val="row-content"/>
                <w:color w:val="244061"/>
              </w:rPr>
              <w:t xml:space="preserve">, Standard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(CVD) risk assessment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9b6e849be84afa">
              <w:r>
                <w:rPr>
                  <w:rStyle w:val="Hyperlink"/>
                </w:rPr>
                <w:t xml:space="preserve">Person—absolute cardiovascular disease risk assessment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403bef6c2647c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CVD risk assessment recorded.</w:t>
            </w:r>
          </w:p>
          <w:p>
            <w:pPr>
              <w:spacing w:after="160"/>
            </w:pPr>
            <w:r>
              <w:rPr>
                <w:rStyle w:val="row-content-rich-text"/>
              </w:rPr>
              <w:t xml:space="preserve">CODE 2   No</w:t>
            </w:r>
          </w:p>
          <w:p>
            <w:pPr>
              <w:spacing w:after="160"/>
            </w:pPr>
            <w:r>
              <w:rPr>
                <w:rStyle w:val="row-content-rich-text"/>
              </w:rPr>
              <w:t xml:space="preserve">A person has not had CVD risk assessment recorded.</w:t>
            </w:r>
          </w:p>
          <w:p>
            <w:pPr>
              <w:spacing w:after="160"/>
            </w:pPr>
            <w:r>
              <w:rPr>
                <w:rStyle w:val="row-content-rich-text"/>
              </w:rPr>
              <w:t xml:space="preserve">The formula and colour-coded charts used for CVD risk assessment in Australia have been developed by the National Vascular Disease Prevention Alliance (NVDPA) and endorsed by the Royal Australian College of General Practitioners and the National Health and Medical Research Council.</w:t>
            </w:r>
          </w:p>
          <w:p>
            <w:pPr>
              <w:spacing w:after="160"/>
            </w:pPr>
            <w:r>
              <w:rPr>
                <w:rStyle w:val="row-content-rich-text"/>
              </w:rPr>
              <w:t xml:space="preserve">Based on evidence and clinical consensus, it has been suggested that calculation of absolute CVD risk is not necessary for certain population groups who are known to be at increased risk (NVDPA 2012). These groups are:</w:t>
            </w:r>
          </w:p>
          <w:p>
            <w:pPr>
              <w:pStyle w:val="ListParagraph"/>
              <w:numPr>
                <w:ilvl w:val="0"/>
                <w:numId w:val="2"/>
              </w:numPr>
            </w:pPr>
            <w:r>
              <w:rPr>
                <w:rStyle w:val="row-content-rich-text"/>
              </w:rPr>
              <w:t xml:space="preserve">persons with diabetes and &gt;60 years old;</w:t>
            </w:r>
          </w:p>
          <w:p>
            <w:pPr>
              <w:pStyle w:val="ListParagraph"/>
              <w:numPr>
                <w:ilvl w:val="0"/>
                <w:numId w:val="2"/>
              </w:numPr>
            </w:pPr>
            <w:r>
              <w:rPr>
                <w:rStyle w:val="row-content-rich-text"/>
              </w:rPr>
              <w:t xml:space="preserve">persons with diabetes with microalbuminuria (i.e. &gt;20 mcg/min for all persons, or UACR &gt;2.5 mg/mmol for males, &gt;3.5 mg/mmol for females);</w:t>
            </w:r>
          </w:p>
          <w:p>
            <w:pPr>
              <w:pStyle w:val="ListParagraph"/>
              <w:numPr>
                <w:ilvl w:val="0"/>
                <w:numId w:val="2"/>
              </w:numPr>
            </w:pPr>
            <w:r>
              <w:rPr>
                <w:rStyle w:val="row-content-rich-text"/>
              </w:rPr>
              <w:t xml:space="preserve">persons with moderate or severe chronic kidney disease (i.e. persistent proteinuria or eGFR &lt; 45 mL/min/1.73m2);</w:t>
            </w:r>
          </w:p>
          <w:p>
            <w:pPr>
              <w:pStyle w:val="ListParagraph"/>
              <w:numPr>
                <w:ilvl w:val="0"/>
                <w:numId w:val="2"/>
              </w:numPr>
            </w:pPr>
            <w:r>
              <w:rPr>
                <w:rStyle w:val="row-content-rich-text"/>
              </w:rPr>
              <w:t xml:space="preserve">persons with a previous diagnosis of familial hypercholesterolaemia;</w:t>
            </w:r>
          </w:p>
          <w:p>
            <w:pPr>
              <w:pStyle w:val="ListParagraph"/>
              <w:numPr>
                <w:ilvl w:val="0"/>
                <w:numId w:val="2"/>
              </w:numPr>
            </w:pPr>
            <w:r>
              <w:rPr>
                <w:rStyle w:val="row-content-rich-text"/>
              </w:rPr>
              <w:t xml:space="preserve">persons with a systolic blood pressure result of ≥180 mmHg or a diastolic blood pressure result of ≥110 mmHg;</w:t>
            </w:r>
          </w:p>
          <w:p>
            <w:pPr>
              <w:pStyle w:val="ListParagraph"/>
              <w:numPr>
                <w:ilvl w:val="0"/>
                <w:numId w:val="2"/>
              </w:numPr>
            </w:pPr>
            <w:r>
              <w:rPr>
                <w:rStyle w:val="row-content-rich-text"/>
              </w:rPr>
              <w:t xml:space="preserve">persons with serum total cholesterol &gt;7.5 mmol/L; or</w:t>
            </w:r>
          </w:p>
          <w:p>
            <w:pPr>
              <w:pStyle w:val="ListParagraph"/>
              <w:numPr>
                <w:ilvl w:val="0"/>
                <w:numId w:val="2"/>
              </w:numPr>
            </w:pPr>
            <w:r>
              <w:rPr>
                <w:rStyle w:val="row-content-rich-text"/>
              </w:rPr>
              <w:t xml:space="preserve">persons aged 75 and over.</w:t>
            </w:r>
          </w:p>
          <w:p>
            <w:pPr>
              <w:spacing w:after="160"/>
            </w:pPr>
            <w:r>
              <w:rPr>
                <w:rStyle w:val="row-content-rich-text"/>
              </w:rPr>
              <w:t xml:space="preserve">People known to be in one of groups should be counted as having had CVD risk assessment recorded.</w:t>
            </w:r>
          </w:p>
          <w:p>
            <w:pPr>
              <w:spacing w:after="160"/>
            </w:pPr>
            <w:r>
              <w:rPr>
                <w:rStyle w:val="row-content-rich-text"/>
              </w:rPr>
              <w:t xml:space="preserve">Details of the formula can be found in:</w:t>
            </w:r>
          </w:p>
          <w:p>
            <w:pPr/>
            <w:r>
              <w:rPr>
                <w:rStyle w:val="row-content-rich-text"/>
              </w:rPr>
              <w:t xml:space="preserve">National Vascular Disease Prevention Alliance 2012. Guidelines for the management of absolute cardiovascular disease risk. Melbourne: National Stroke Foundation.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Input information for CVD risk assessment is collected by general practitioners and other health 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Absolute CVD risk assessment is the probability, expressed as percentage, that a person may experience a cardiovascular event within a specified period. For example, the 5-year absolute risk of 15% means 'a 15% chance that the individual will experience a cardiovascular event within the next 5 years'. The calculation estimates a person's overall risk of CVD based on multiple risk factors as opposed to the traditional approaches using individual risk factors such as high cholesterol or high blood pressure.</w:t>
            </w:r>
          </w:p>
          <w:p>
            <w:pPr/>
            <w:r>
              <w:rPr>
                <w:rStyle w:val="row-content-rich-text"/>
              </w:rPr>
              <w:t xml:space="preserve">Assessment of CVD risk based on multiple risk factors is more accurate due to the cumulative effect of CVD risk factors. In view of this additive predictive power, it is reasonable to expect that any prevention or management decisions based on this risk assessment tool should help improve CVD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Vascular Disease Prevention Alliance, 2012. Guidelines for the management of absolute cardiovascular disease risk. Melbourne: National Stroke Foundation. Viewed 28 August 2018, </w:t>
            </w:r>
            <w:hyperlink w:history="true" r:id="R6ba97b3e52cf4997">
              <w:r>
                <w:rPr>
                  <w:rStyle w:val="Hyperlink"/>
                </w:rPr>
                <w:t xml:space="preserve">https://informme.org.au/en/Guidelines/Guidelines-for-the-assessment-and-management-of-absolute-CVD-risk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a39436d0eb4dd6">
              <w:r>
                <w:rPr>
                  <w:rStyle w:val="Hyperlink"/>
                </w:rPr>
                <w:t xml:space="preserve">Person—absolute cardiovascular disease risk assessment result recorded indicator, yes/no code N</w:t>
              </w:r>
            </w:hyperlink>
          </w:p>
          <w:p>
            <w:pPr>
              <w:pStyle w:val="registration-status"/>
              <w:spacing w:before="0" w:after="0"/>
            </w:pPr>
            <w:hyperlink w:history="true" r:id="Rf15617fddf474976">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64735cc0b30c48c8">
              <w:r>
                <w:rPr>
                  <w:rStyle w:val="Hyperlink"/>
                  <w:color w:val="244061"/>
                </w:rPr>
                <w:t xml:space="preserve">Indigenous</w:t>
              </w:r>
            </w:hyperlink>
            <w:r>
              <w:rPr>
                <w:rStyle w:val="row-content"/>
                <w:color w:val="244061"/>
              </w:rPr>
              <w:t xml:space="preserve">, Superseded 22/10/2018</w:t>
            </w:r>
          </w:p>
          <w:p>
            <w:r>
              <w:br/>
            </w:r>
            <w:r>
              <w:rPr>
                <w:rStyle w:val="row-content"/>
              </w:rPr>
              <w:t xml:space="preserve">See also </w:t>
            </w:r>
            <w:hyperlink w:history="true" r:id="Rd9605e3b8203476d">
              <w:r>
                <w:rPr>
                  <w:rStyle w:val="Hyperlink"/>
                </w:rPr>
                <w:t xml:space="preserve">Primary Health Network—number of regular clients with an absolute cardiovascular disease risk assessment result recorded, total number N[NNNNNN]</w:t>
              </w:r>
            </w:hyperlink>
          </w:p>
          <w:p>
            <w:pPr>
              <w:pStyle w:val="registration-status"/>
              <w:spacing w:before="0" w:after="0"/>
            </w:pPr>
            <w:hyperlink w:history="true" r:id="R5575e8e1784b4d70">
              <w:r>
                <w:rPr>
                  <w:rStyle w:val="Hyperlink"/>
                  <w:color w:val="244061"/>
                </w:rPr>
                <w:t xml:space="preserve">Health!</w:t>
              </w:r>
            </w:hyperlink>
            <w:r>
              <w:rPr>
                <w:rStyle w:val="row-content"/>
                <w:color w:val="244061"/>
              </w:rPr>
              <w:t xml:space="preserve">, Recorded 05/01/2021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e1084f56f44374">
              <w:r>
                <w:rPr>
                  <w:rStyle w:val="Hyperlink"/>
                </w:rPr>
                <w:t xml:space="preserve">Indigenous primary health care NBEDS 2018–19</w:t>
              </w:r>
            </w:hyperlink>
          </w:p>
          <w:p>
            <w:pPr>
              <w:pStyle w:val="registration-status"/>
              <w:spacing w:before="0" w:after="0"/>
            </w:pPr>
            <w:hyperlink w:history="true" r:id="Rbb725c1059a84b6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524ec794c664f13">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bdeaafa28264b91">
              <w:r>
                <w:rPr>
                  <w:rStyle w:val="Hyperlink"/>
                </w:rPr>
                <w:t xml:space="preserve">Indigenous primary health care NBEDS 2019–20</w:t>
              </w:r>
            </w:hyperlink>
          </w:p>
          <w:p>
            <w:pPr>
              <w:pStyle w:val="registration-status"/>
              <w:spacing w:before="0" w:after="0"/>
            </w:pPr>
            <w:hyperlink w:history="true" r:id="R51de774d455d4b6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ac36b71f74e404f">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446aafd72294dbd">
              <w:r>
                <w:rPr>
                  <w:rStyle w:val="Hyperlink"/>
                </w:rPr>
                <w:t xml:space="preserve">Indigenous primary health care NBEDS 2020–21</w:t>
              </w:r>
            </w:hyperlink>
          </w:p>
          <w:p>
            <w:pPr>
              <w:pStyle w:val="registration-status"/>
              <w:spacing w:before="0" w:after="0"/>
            </w:pPr>
            <w:hyperlink w:history="true" r:id="R96090a169c994dfa">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f7e1f92c0484ba4">
              <w:r>
                <w:rPr>
                  <w:rStyle w:val="Hyperlink"/>
                </w:rPr>
                <w:t xml:space="preserve">Indigenous-specific primary health care NBEDS December 2020</w:t>
              </w:r>
            </w:hyperlink>
          </w:p>
          <w:p>
            <w:pPr>
              <w:pStyle w:val="registration-status"/>
              <w:spacing w:before="0" w:after="0"/>
            </w:pPr>
            <w:hyperlink w:history="true" r:id="Rcf1e4c7009024561">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being aged ≥ 34 years and &lt; 75 years at the census date, and on a 'CODE 2 No' response to '</w:t>
            </w:r>
            <w:hyperlink w:history="true" r:id="R9f03d475de3e4a25">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2c5f042da4e4199">
              <w:r>
                <w:rPr>
                  <w:rStyle w:val="Hyperlink"/>
                </w:rPr>
                <w:t xml:space="preserve">Indigenous primary health care: PI21a-Number of regular clients aged 35 to 74 years who have had an absolute cardiovascular disease (CVD) risk assessment with results within specified levels, 2018-2019</w:t>
              </w:r>
            </w:hyperlink>
          </w:p>
          <w:p>
            <w:pPr>
              <w:pStyle w:val="registration-status"/>
              <w:spacing w:before="0" w:after="0"/>
            </w:pPr>
            <w:hyperlink w:history="true" r:id="R373646027d8f46f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f89146543d74360">
              <w:r>
                <w:rPr>
                  <w:rStyle w:val="Hyperlink"/>
                  <w:color w:val="244061"/>
                </w:rPr>
                <w:t xml:space="preserve">Indigenous</w:t>
              </w:r>
            </w:hyperlink>
            <w:r>
              <w:rPr>
                <w:rStyle w:val="row-content"/>
                <w:color w:val="244061"/>
              </w:rPr>
              <w:t xml:space="preserve">, Superseded 14/07/2021</w:t>
            </w:r>
          </w:p>
          <w:p>
            <w:r>
              <w:br/>
            </w:r>
            <w:hyperlink w:history="true" r:id="Rdc95f69a17504098">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pStyle w:val="registration-status"/>
              <w:spacing w:before="0" w:after="0"/>
            </w:pPr>
            <w:hyperlink w:history="true" r:id="R3c642b0dd7ef475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dd7c32c85884660">
              <w:r>
                <w:rPr>
                  <w:rStyle w:val="Hyperlink"/>
                  <w:color w:val="244061"/>
                </w:rPr>
                <w:t xml:space="preserve">Indigenous</w:t>
              </w:r>
            </w:hyperlink>
            <w:r>
              <w:rPr>
                <w:rStyle w:val="row-content"/>
                <w:color w:val="244061"/>
              </w:rPr>
              <w:t xml:space="preserve">, Superseded 14/07/2021</w:t>
            </w:r>
          </w:p>
          <w:p>
            <w:r>
              <w:br/>
            </w:r>
            <w:hyperlink w:history="true" r:id="R2f5963b832df4867">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pStyle w:val="registration-status"/>
              <w:spacing w:before="0" w:after="0"/>
            </w:pPr>
            <w:hyperlink w:history="true" r:id="Ra4842e1fa04342c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950d78d908e4c2e">
              <w:r>
                <w:rPr>
                  <w:rStyle w:val="Hyperlink"/>
                  <w:color w:val="244061"/>
                </w:rPr>
                <w:t xml:space="preserve">Indigenous</w:t>
              </w:r>
            </w:hyperlink>
            <w:r>
              <w:rPr>
                <w:rStyle w:val="row-content"/>
                <w:color w:val="244061"/>
              </w:rPr>
              <w:t xml:space="preserve">, Superseded 14/07/2021</w:t>
            </w:r>
          </w:p>
          <w:p>
            <w:r>
              <w:br/>
            </w:r>
            <w:hyperlink w:history="true" r:id="Rba5a8316c8b84f39">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pStyle w:val="registration-status"/>
              <w:spacing w:before="0" w:after="0"/>
            </w:pPr>
            <w:hyperlink w:history="true" r:id="Rdf2aa6ae401745a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0b59e22034a4e95">
              <w:r>
                <w:rPr>
                  <w:rStyle w:val="Hyperlink"/>
                  <w:color w:val="244061"/>
                </w:rPr>
                <w:t xml:space="preserve">Indigenous</w:t>
              </w:r>
            </w:hyperlink>
            <w:r>
              <w:rPr>
                <w:rStyle w:val="row-content"/>
                <w:color w:val="244061"/>
              </w:rPr>
              <w:t xml:space="preserve">, Superseded 14/07/2021</w:t>
            </w:r>
          </w:p>
          <w:p>
            <w:r>
              <w:br/>
            </w:r>
            <w:hyperlink w:history="true" r:id="R8a47efae736247c0">
              <w:r>
                <w:rPr>
                  <w:rStyle w:val="Hyperlink"/>
                </w:rPr>
                <w:t xml:space="preserve">Indigenous-specific primary health care: PI21a-Number of Indigenous regular clients who have an absolute cardiovascular disease (CVD) risk assessment result within specified levels, December 2020</w:t>
              </w:r>
            </w:hyperlink>
          </w:p>
          <w:p>
            <w:pPr>
              <w:pStyle w:val="registration-status"/>
              <w:spacing w:before="0" w:after="0"/>
            </w:pPr>
            <w:hyperlink w:history="true" r:id="Rbddff6c2b83a4a69">
              <w:r>
                <w:rPr>
                  <w:rStyle w:val="Hyperlink"/>
                  <w:color w:val="244061"/>
                </w:rPr>
                <w:t xml:space="preserve">Indigenous</w:t>
              </w:r>
            </w:hyperlink>
            <w:r>
              <w:rPr>
                <w:rStyle w:val="row-content"/>
                <w:color w:val="244061"/>
              </w:rPr>
              <w:t xml:space="preserve">, Standard 14/07/2021</w:t>
            </w:r>
          </w:p>
          <w:p>
            <w:r>
              <w:br/>
            </w:r>
            <w:hyperlink w:history="true" r:id="R27b5dd287aad49c7">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9170052969f548b9">
              <w:r>
                <w:rPr>
                  <w:rStyle w:val="Hyperlink"/>
                  <w:color w:val="244061"/>
                </w:rPr>
                <w:t xml:space="preserve">Indigenous</w:t>
              </w:r>
            </w:hyperlink>
            <w:r>
              <w:rPr>
                <w:rStyle w:val="row-content"/>
                <w:color w:val="244061"/>
              </w:rPr>
              <w:t xml:space="preserve">, Standard 09/08/2021</w:t>
            </w:r>
          </w:p>
          <w:p>
            <w:r>
              <w:br/>
            </w:r>
            <w:r>
              <w:rPr>
                <w:rStyle w:val="row-content"/>
                <w:b/>
              </w:rPr>
              <w:t xml:space="preserve">Used as Denominator</w:t>
            </w:r>
            <w:r>
              <w:br/>
            </w:r>
            <w:hyperlink w:history="true" r:id="R5b6af8609fbe4698">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pStyle w:val="registration-status"/>
              <w:spacing w:before="0" w:after="0"/>
            </w:pPr>
            <w:hyperlink w:history="true" r:id="R1617cc21f97d48f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886ffbbfc8b4256">
              <w:r>
                <w:rPr>
                  <w:rStyle w:val="Hyperlink"/>
                  <w:color w:val="244061"/>
                </w:rPr>
                <w:t xml:space="preserve">Indigenous</w:t>
              </w:r>
            </w:hyperlink>
            <w:r>
              <w:rPr>
                <w:rStyle w:val="row-content"/>
                <w:color w:val="244061"/>
              </w:rPr>
              <w:t xml:space="preserve">, Superseded 14/07/2021</w:t>
            </w:r>
          </w:p>
          <w:p>
            <w:r>
              <w:br/>
            </w:r>
            <w:hyperlink w:history="true" r:id="Rc3ed5a2464ca4db9">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pStyle w:val="registration-status"/>
              <w:spacing w:before="0" w:after="0"/>
            </w:pPr>
            <w:hyperlink w:history="true" r:id="R0ce4a517d399444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5ed70c54cb24f21">
              <w:r>
                <w:rPr>
                  <w:rStyle w:val="Hyperlink"/>
                  <w:color w:val="244061"/>
                </w:rPr>
                <w:t xml:space="preserve">Indigenous</w:t>
              </w:r>
            </w:hyperlink>
            <w:r>
              <w:rPr>
                <w:rStyle w:val="row-content"/>
                <w:color w:val="244061"/>
              </w:rPr>
              <w:t xml:space="preserve">, Superseded 14/07/2021</w:t>
            </w:r>
          </w:p>
          <w:p>
            <w:r>
              <w:br/>
            </w:r>
            <w:hyperlink w:history="true" r:id="Rc7614634ab434e91">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3457b06c51544832">
              <w:r>
                <w:rPr>
                  <w:rStyle w:val="Hyperlink"/>
                  <w:color w:val="244061"/>
                </w:rPr>
                <w:t xml:space="preserve">Indigenous</w:t>
              </w:r>
            </w:hyperlink>
            <w:r>
              <w:rPr>
                <w:rStyle w:val="row-content"/>
                <w:color w:val="244061"/>
              </w:rPr>
              <w:t xml:space="preserve">, Standard 09/08/2021</w:t>
            </w:r>
          </w:p>
          <w:p>
            <w:r>
              <w:br/>
            </w:r>
          </w:p>
        </w:tc>
      </w:tr>
    </w:tbl>
    <w:p/>
    <w:tbl>
      <w:tblPr>
        <w:tblStyle w:val="TableGrid"/>
        <w:tblW w:w="0" w:type="auto"/>
      </w:tblPr>
    </w:tbl>
    <w:p>
      <w:r>
        <w:br/>
      </w:r>
    </w:p>
    <w:sectPr>
      <w:footerReference xmlns:r="http://schemas.openxmlformats.org/officeDocument/2006/relationships" w:type="default" r:id="R24c58d2981b744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699031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d3279d9bc34f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58d2981b744f6" /><Relationship Type="http://schemas.openxmlformats.org/officeDocument/2006/relationships/header" Target="/word/header1.xml" Id="R87032c5b1cc24b25" /><Relationship Type="http://schemas.openxmlformats.org/officeDocument/2006/relationships/settings" Target="/word/settings.xml" Id="Rd9934b2245ab43b3" /><Relationship Type="http://schemas.openxmlformats.org/officeDocument/2006/relationships/styles" Target="/word/styles.xml" Id="Ra8c7e389230e43a6" /><Relationship Type="http://schemas.openxmlformats.org/officeDocument/2006/relationships/numbering" Target="/word/numbering.xml" Id="R507aab567f7b4bd0" /><Relationship Type="http://schemas.openxmlformats.org/officeDocument/2006/relationships/hyperlink" Target="https://meteor-uat.aihw.gov.au/RegistrationAuthority/14" TargetMode="External" Id="R1deb85db1b9b47d4" /><Relationship Type="http://schemas.openxmlformats.org/officeDocument/2006/relationships/hyperlink" Target="https://meteor-uat.aihw.gov.au/RegistrationAuthority/9" TargetMode="External" Id="Rb69fa9e149ea41d0" /><Relationship Type="http://schemas.openxmlformats.org/officeDocument/2006/relationships/hyperlink" Target="https://meteor-uat.aihw.gov.au/content/503018" TargetMode="External" Id="R369b6e849be84afa" /><Relationship Type="http://schemas.openxmlformats.org/officeDocument/2006/relationships/hyperlink" Target="https://meteor-uat.aihw.gov.au/content/270732" TargetMode="External" Id="R37403bef6c2647c5" /><Relationship Type="http://schemas.openxmlformats.org/officeDocument/2006/relationships/hyperlink" Target="https://informme.org.au/en/Guidelines/Guidelines-for-the-assessment-and-management-of-absolute-CVD-risk" TargetMode="External" Id="R6ba97b3e52cf4997" /><Relationship Type="http://schemas.openxmlformats.org/officeDocument/2006/relationships/hyperlink" Target="https://meteor-uat.aihw.gov.au/content/585364" TargetMode="External" Id="R39a39436d0eb4dd6" /><Relationship Type="http://schemas.openxmlformats.org/officeDocument/2006/relationships/hyperlink" Target="https://meteor-uat.aihw.gov.au/RegistrationAuthority/14" TargetMode="External" Id="Rf15617fddf474976" /><Relationship Type="http://schemas.openxmlformats.org/officeDocument/2006/relationships/hyperlink" Target="https://meteor-uat.aihw.gov.au/RegistrationAuthority/9" TargetMode="External" Id="R64735cc0b30c48c8" /><Relationship Type="http://schemas.openxmlformats.org/officeDocument/2006/relationships/hyperlink" Target="https://meteor-uat.aihw.gov.au/content/728882" TargetMode="External" Id="Rd9605e3b8203476d" /><Relationship Type="http://schemas.openxmlformats.org/officeDocument/2006/relationships/hyperlink" Target="https://meteor-uat.aihw.gov.au/RegistrationAuthority/14" TargetMode="External" Id="R5575e8e1784b4d70" /><Relationship Type="http://schemas.openxmlformats.org/officeDocument/2006/relationships/hyperlink" Target="https://meteor-uat.aihw.gov.au/content/694101" TargetMode="External" Id="Re0e1084f56f44374" /><Relationship Type="http://schemas.openxmlformats.org/officeDocument/2006/relationships/hyperlink" Target="https://meteor-uat.aihw.gov.au/RegistrationAuthority/14" TargetMode="External" Id="Rbb725c1059a84b69" /><Relationship Type="http://schemas.openxmlformats.org/officeDocument/2006/relationships/hyperlink" Target="https://meteor-uat.aihw.gov.au/RegistrationAuthority/9" TargetMode="External" Id="Rb524ec794c664f13" /><Relationship Type="http://schemas.openxmlformats.org/officeDocument/2006/relationships/hyperlink" Target="https://meteor-uat.aihw.gov.au/content/707502" TargetMode="External" Id="Rfbdeaafa28264b91" /><Relationship Type="http://schemas.openxmlformats.org/officeDocument/2006/relationships/hyperlink" Target="https://meteor-uat.aihw.gov.au/RegistrationAuthority/14" TargetMode="External" Id="R51de774d455d4b6a" /><Relationship Type="http://schemas.openxmlformats.org/officeDocument/2006/relationships/hyperlink" Target="https://meteor-uat.aihw.gov.au/RegistrationAuthority/9" TargetMode="External" Id="R0ac36b71f74e404f" /><Relationship Type="http://schemas.openxmlformats.org/officeDocument/2006/relationships/hyperlink" Target="https://meteor-uat.aihw.gov.au/content/715320" TargetMode="External" Id="R2446aafd72294dbd" /><Relationship Type="http://schemas.openxmlformats.org/officeDocument/2006/relationships/hyperlink" Target="https://meteor-uat.aihw.gov.au/RegistrationAuthority/14" TargetMode="External" Id="R96090a169c994dfa" /><Relationship Type="http://schemas.openxmlformats.org/officeDocument/2006/relationships/hyperlink" Target="https://meteor-uat.aihw.gov.au/content/738532" TargetMode="External" Id="R8f7e1f92c0484ba4" /><Relationship Type="http://schemas.openxmlformats.org/officeDocument/2006/relationships/hyperlink" Target="https://meteor-uat.aihw.gov.au/RegistrationAuthority/9" TargetMode="External" Id="Rcf1e4c7009024561" /><Relationship Type="http://schemas.openxmlformats.org/officeDocument/2006/relationships/hyperlink" Target="https://meteor-uat.aihw.gov.au/content/465948" TargetMode="External" Id="R9f03d475de3e4a25" /><Relationship Type="http://schemas.openxmlformats.org/officeDocument/2006/relationships/hyperlink" Target="https://meteor-uat.aihw.gov.au/content/688009" TargetMode="External" Id="Rf2c5f042da4e4199" /><Relationship Type="http://schemas.openxmlformats.org/officeDocument/2006/relationships/hyperlink" Target="https://meteor-uat.aihw.gov.au/RegistrationAuthority/14" TargetMode="External" Id="R373646027d8f46fa" /><Relationship Type="http://schemas.openxmlformats.org/officeDocument/2006/relationships/hyperlink" Target="https://meteor-uat.aihw.gov.au/RegistrationAuthority/9" TargetMode="External" Id="Rdf89146543d74360" /><Relationship Type="http://schemas.openxmlformats.org/officeDocument/2006/relationships/hyperlink" Target="https://meteor-uat.aihw.gov.au/content/717352" TargetMode="External" Id="Rdc95f69a17504098" /><Relationship Type="http://schemas.openxmlformats.org/officeDocument/2006/relationships/hyperlink" Target="https://meteor-uat.aihw.gov.au/RegistrationAuthority/14" TargetMode="External" Id="R3c642b0dd7ef475e" /><Relationship Type="http://schemas.openxmlformats.org/officeDocument/2006/relationships/hyperlink" Target="https://meteor-uat.aihw.gov.au/RegistrationAuthority/9" TargetMode="External" Id="R5dd7c32c85884660" /><Relationship Type="http://schemas.openxmlformats.org/officeDocument/2006/relationships/hyperlink" Target="https://meteor-uat.aihw.gov.au/content/688012" TargetMode="External" Id="R2f5963b832df4867" /><Relationship Type="http://schemas.openxmlformats.org/officeDocument/2006/relationships/hyperlink" Target="https://meteor-uat.aihw.gov.au/RegistrationAuthority/14" TargetMode="External" Id="Ra4842e1fa04342cd" /><Relationship Type="http://schemas.openxmlformats.org/officeDocument/2006/relationships/hyperlink" Target="https://meteor-uat.aihw.gov.au/RegistrationAuthority/9" TargetMode="External" Id="Rd950d78d908e4c2e" /><Relationship Type="http://schemas.openxmlformats.org/officeDocument/2006/relationships/hyperlink" Target="https://meteor-uat.aihw.gov.au/content/717354" TargetMode="External" Id="Rba5a8316c8b84f39" /><Relationship Type="http://schemas.openxmlformats.org/officeDocument/2006/relationships/hyperlink" Target="https://meteor-uat.aihw.gov.au/RegistrationAuthority/14" TargetMode="External" Id="Rdf2aa6ae401745a2" /><Relationship Type="http://schemas.openxmlformats.org/officeDocument/2006/relationships/hyperlink" Target="https://meteor-uat.aihw.gov.au/RegistrationAuthority/9" TargetMode="External" Id="R40b59e22034a4e95" /><Relationship Type="http://schemas.openxmlformats.org/officeDocument/2006/relationships/hyperlink" Target="https://meteor-uat.aihw.gov.au/content/739468" TargetMode="External" Id="R8a47efae736247c0" /><Relationship Type="http://schemas.openxmlformats.org/officeDocument/2006/relationships/hyperlink" Target="https://meteor-uat.aihw.gov.au/RegistrationAuthority/9" TargetMode="External" Id="Rbddff6c2b83a4a69" /><Relationship Type="http://schemas.openxmlformats.org/officeDocument/2006/relationships/hyperlink" Target="https://meteor-uat.aihw.gov.au/content/739470" TargetMode="External" Id="R27b5dd287aad49c7" /><Relationship Type="http://schemas.openxmlformats.org/officeDocument/2006/relationships/hyperlink" Target="https://meteor-uat.aihw.gov.au/RegistrationAuthority/9" TargetMode="External" Id="R9170052969f548b9" /><Relationship Type="http://schemas.openxmlformats.org/officeDocument/2006/relationships/hyperlink" Target="https://meteor-uat.aihw.gov.au/content/688012" TargetMode="External" Id="R5b6af8609fbe4698" /><Relationship Type="http://schemas.openxmlformats.org/officeDocument/2006/relationships/hyperlink" Target="https://meteor-uat.aihw.gov.au/RegistrationAuthority/14" TargetMode="External" Id="R1617cc21f97d48f7" /><Relationship Type="http://schemas.openxmlformats.org/officeDocument/2006/relationships/hyperlink" Target="https://meteor-uat.aihw.gov.au/RegistrationAuthority/9" TargetMode="External" Id="R2886ffbbfc8b4256" /><Relationship Type="http://schemas.openxmlformats.org/officeDocument/2006/relationships/hyperlink" Target="https://meteor-uat.aihw.gov.au/content/717354" TargetMode="External" Id="Rc3ed5a2464ca4db9" /><Relationship Type="http://schemas.openxmlformats.org/officeDocument/2006/relationships/hyperlink" Target="https://meteor-uat.aihw.gov.au/RegistrationAuthority/14" TargetMode="External" Id="R0ce4a517d3994448" /><Relationship Type="http://schemas.openxmlformats.org/officeDocument/2006/relationships/hyperlink" Target="https://meteor-uat.aihw.gov.au/RegistrationAuthority/9" TargetMode="External" Id="R95ed70c54cb24f21" /><Relationship Type="http://schemas.openxmlformats.org/officeDocument/2006/relationships/hyperlink" Target="https://meteor-uat.aihw.gov.au/content/739470" TargetMode="External" Id="Rc7614634ab434e91" /><Relationship Type="http://schemas.openxmlformats.org/officeDocument/2006/relationships/hyperlink" Target="https://meteor-uat.aihw.gov.au/RegistrationAuthority/9" TargetMode="External" Id="R3457b06c51544832" /></Relationships>
</file>

<file path=word/_rels/header1.xml.rels>&#65279;<?xml version="1.0" encoding="utf-8"?><Relationships xmlns="http://schemas.openxmlformats.org/package/2006/relationships"><Relationship Type="http://schemas.openxmlformats.org/officeDocument/2006/relationships/image" Target="/media/image.png" Id="Re9d3279d9bc34fa7" /></Relationships>
</file>