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7eef8bf51b45db"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c7da06322476d">
              <w:r>
                <w:rPr>
                  <w:rStyle w:val="Hyperlink"/>
                  <w:color w:val="244061"/>
                </w:rPr>
                <w:t xml:space="preserve">Health!</w:t>
              </w:r>
            </w:hyperlink>
            <w:r>
              <w:rPr>
                <w:rStyle w:val="row-content"/>
                <w:color w:val="244061"/>
              </w:rPr>
              <w:t xml:space="preserve">, Standard 06/09/2018</w:t>
            </w:r>
          </w:p>
          <w:p>
            <w:pPr>
              <w:spacing w:before="0" w:after="0"/>
            </w:pPr>
            <w:hyperlink w:history="true" r:id="R1b0eb600b8484d8f">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2503c9abb247ec">
              <w:r>
                <w:rPr>
                  <w:rStyle w:val="Hyperlink"/>
                </w:rPr>
                <w:t xml:space="preserve">Person—absolute cardiovascular disease risk assessment result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576d739c4f449c">
              <w:r>
                <w:rPr>
                  <w:rStyle w:val="Hyperlink"/>
                </w:rPr>
                <w:t xml:space="preserve">Absolute cardiovascular disease risk assessment result categories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(greater than 15% chance of a cardiovascular event in the next 5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(10-15%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Low (less than 10% chance of a cardiovascular event in the next 5 years)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includes people who have not had a cardiovascular event.</w:t>
            </w:r>
          </w:p>
          <w:p>
            <w:pPr>
              <w:spacing w:after="160"/>
            </w:pPr>
            <w:r>
              <w:rPr>
                <w:rStyle w:val="row-content-rich-text"/>
              </w:rPr>
              <w:t xml:space="preserve">Assessment of the absolute risk of a cardiovascular event over the next 5 years. The guidelines used in this assessment was developed by the National Vascular Disease Prevention Alliance (NVDPA).</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r>
              <w:rPr>
                <w:rStyle w:val="row-content-rich-text"/>
              </w:rPr>
              <w:t xml:space="preserve">People known to be in one of these groups should be classified as 'high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NVPDA (National Vascular Disease Prevention Alliance) 2012. Guidelines for the management of absolute cardiovascular disease risk. Melbourne: National Stroke Foundation. Viewed 28 August 2018, </w:t>
            </w:r>
            <w:hyperlink w:history="true" r:id="R35b3e21c06a44aff">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a921cbed284f20">
              <w:r>
                <w:rPr>
                  <w:rStyle w:val="Hyperlink"/>
                </w:rPr>
                <w:t xml:space="preserve">Person—absolute cardiovascular disease risk assessment result categories, code N</w:t>
              </w:r>
            </w:hyperlink>
          </w:p>
          <w:p>
            <w:pPr>
              <w:pStyle w:val="registration-status"/>
              <w:spacing w:before="0" w:after="0"/>
            </w:pPr>
            <w:hyperlink w:history="true" r:id="R61ca9cb7926642a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4de31ba97d6464c">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9dd711305d4c79">
              <w:r>
                <w:rPr>
                  <w:rStyle w:val="Hyperlink"/>
                </w:rPr>
                <w:t xml:space="preserve">Indigenous primary health care NBEDS 2018–19</w:t>
              </w:r>
            </w:hyperlink>
          </w:p>
          <w:p>
            <w:pPr>
              <w:pStyle w:val="registration-status"/>
              <w:spacing w:before="0" w:after="0"/>
            </w:pPr>
            <w:hyperlink w:history="true" r:id="Rd9fa22f4ddb2424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33f2a40c58a4d8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b0d57c0a05fa45db">
              <w:r>
                <w:rPr>
                  <w:rStyle w:val="Hyperlink"/>
                </w:rPr>
                <w:t xml:space="preserve">Indigenous primary health care NBEDS 2019–20</w:t>
              </w:r>
            </w:hyperlink>
          </w:p>
          <w:p>
            <w:pPr>
              <w:pStyle w:val="registration-status"/>
              <w:spacing w:before="0" w:after="0"/>
            </w:pPr>
            <w:hyperlink w:history="true" r:id="R74c00cf9ca1d455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6a7f4b760434a0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38efd12cb70c4f8f">
              <w:r>
                <w:rPr>
                  <w:rStyle w:val="Hyperlink"/>
                </w:rPr>
                <w:t xml:space="preserve">Indigenous primary health care NBEDS 2020–21</w:t>
              </w:r>
            </w:hyperlink>
          </w:p>
          <w:p>
            <w:pPr>
              <w:pStyle w:val="registration-status"/>
              <w:spacing w:before="0" w:after="0"/>
            </w:pPr>
            <w:hyperlink w:history="true" r:id="Rfd9128e65986473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fd920e6d0f4b4926">
              <w:r>
                <w:rPr>
                  <w:rStyle w:val="Hyperlink"/>
                </w:rPr>
                <w:t xml:space="preserve">Indigenous-specific primary health care NBEDS December 2020</w:t>
              </w:r>
            </w:hyperlink>
          </w:p>
          <w:p>
            <w:pPr>
              <w:pStyle w:val="registration-status"/>
              <w:spacing w:before="0" w:after="0"/>
            </w:pPr>
            <w:hyperlink w:history="true" r:id="Rff34f2165039422f">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r>
              <w:rPr>
                <w:rStyle w:val="row-content"/>
              </w:rPr>
              <w:t xml:space="preserve">a 'CODE 1 Yes' response to '</w:t>
            </w:r>
            <w:hyperlink w:history="true" r:id="Rd723b600b8ff46d0">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3"/>
              </w:numPr>
            </w:pPr>
            <w:r>
              <w:rPr>
                <w:rStyle w:val="row-content"/>
              </w:rPr>
              <w:t xml:space="preserve">a person being aged ≥ 35 years and &lt; 75 years at the census date, and</w:t>
            </w:r>
          </w:p>
          <w:p>
            <w:pPr>
              <w:pStyle w:val="ListParagraph"/>
              <w:numPr>
                <w:ilvl w:val="0"/>
                <w:numId w:val="3"/>
              </w:numPr>
            </w:pPr>
            <w:r>
              <w:rPr>
                <w:rStyle w:val="row-content"/>
              </w:rPr>
              <w:t xml:space="preserve">a 'CODE 2 No' response to '</w:t>
            </w:r>
            <w:hyperlink w:history="true" r:id="R64088475eaca4984">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a69394b45074bac">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a20bb6db6b174a8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0ab26fb2f3f42ee">
              <w:r>
                <w:rPr>
                  <w:rStyle w:val="Hyperlink"/>
                  <w:color w:val="244061"/>
                </w:rPr>
                <w:t xml:space="preserve">Indigenous</w:t>
              </w:r>
            </w:hyperlink>
            <w:r>
              <w:rPr>
                <w:rStyle w:val="row-content"/>
                <w:color w:val="244061"/>
              </w:rPr>
              <w:t xml:space="preserve">, Superseded 14/07/2021</w:t>
            </w:r>
          </w:p>
          <w:p>
            <w:r>
              <w:br/>
            </w:r>
            <w:hyperlink w:history="true" r:id="R6a4b2c0bdd2f42fc">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0919e0915d7b44e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20b84d3dccc41eb">
              <w:r>
                <w:rPr>
                  <w:rStyle w:val="Hyperlink"/>
                  <w:color w:val="244061"/>
                </w:rPr>
                <w:t xml:space="preserve">Indigenous</w:t>
              </w:r>
            </w:hyperlink>
            <w:r>
              <w:rPr>
                <w:rStyle w:val="row-content"/>
                <w:color w:val="244061"/>
              </w:rPr>
              <w:t xml:space="preserve">, Superseded 14/07/2021</w:t>
            </w:r>
          </w:p>
          <w:p>
            <w:r>
              <w:br/>
            </w:r>
            <w:hyperlink w:history="true" r:id="R9925aeeab25b41ba">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48dd205ea3b84d2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30de6b4d12c41b8">
              <w:r>
                <w:rPr>
                  <w:rStyle w:val="Hyperlink"/>
                  <w:color w:val="244061"/>
                </w:rPr>
                <w:t xml:space="preserve">Indigenous</w:t>
              </w:r>
            </w:hyperlink>
            <w:r>
              <w:rPr>
                <w:rStyle w:val="row-content"/>
                <w:color w:val="244061"/>
              </w:rPr>
              <w:t xml:space="preserve">, Superseded 14/07/2021</w:t>
            </w:r>
          </w:p>
          <w:p>
            <w:r>
              <w:br/>
            </w:r>
            <w:hyperlink w:history="true" r:id="Ra32b7fe4064a4afe">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6eea6fb0aae84ea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c1c2a0a2bd04c43">
              <w:r>
                <w:rPr>
                  <w:rStyle w:val="Hyperlink"/>
                  <w:color w:val="244061"/>
                </w:rPr>
                <w:t xml:space="preserve">Indigenous</w:t>
              </w:r>
            </w:hyperlink>
            <w:r>
              <w:rPr>
                <w:rStyle w:val="row-content"/>
                <w:color w:val="244061"/>
              </w:rPr>
              <w:t xml:space="preserve">, Superseded 14/07/2021</w:t>
            </w:r>
          </w:p>
          <w:p>
            <w:r>
              <w:br/>
            </w:r>
            <w:hyperlink w:history="true" r:id="R4b28d93fe67b44ca">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48e4b815e21742da">
              <w:r>
                <w:rPr>
                  <w:rStyle w:val="Hyperlink"/>
                  <w:color w:val="244061"/>
                </w:rPr>
                <w:t xml:space="preserve">Indigenous</w:t>
              </w:r>
            </w:hyperlink>
            <w:r>
              <w:rPr>
                <w:rStyle w:val="row-content"/>
                <w:color w:val="244061"/>
              </w:rPr>
              <w:t xml:space="preserve">, Standard 14/07/2021</w:t>
            </w:r>
          </w:p>
          <w:p>
            <w:r>
              <w:br/>
            </w:r>
            <w:hyperlink w:history="true" r:id="R6b4e4511d7c6442e">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0dc8bedf1d494c31">
              <w:r>
                <w:rPr>
                  <w:rStyle w:val="Hyperlink"/>
                  <w:color w:val="244061"/>
                </w:rPr>
                <w:t xml:space="preserve">Indigenous</w:t>
              </w:r>
            </w:hyperlink>
            <w:r>
              <w:rPr>
                <w:rStyle w:val="row-content"/>
                <w:color w:val="244061"/>
              </w:rPr>
              <w:t xml:space="preserve">, Standard 09/08/2021</w:t>
            </w:r>
          </w:p>
          <w:p>
            <w:r>
              <w:br/>
            </w:r>
          </w:p>
        </w:tc>
      </w:tr>
    </w:tbl>
    <w:p/>
    <w:tbl>
      <w:tblPr>
        <w:tblStyle w:val="TableGrid"/>
        <w:tblW w:w="0" w:type="auto"/>
      </w:tblPr>
    </w:tbl>
    <w:p>
      <w:r>
        <w:br/>
      </w:r>
    </w:p>
    <w:sectPr>
      <w:footerReference xmlns:r="http://schemas.openxmlformats.org/officeDocument/2006/relationships" w:type="default" r:id="R983693ba41c0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4cb5f1d3e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693ba41c0489b" /><Relationship Type="http://schemas.openxmlformats.org/officeDocument/2006/relationships/header" Target="/word/header1.xml" Id="R29c6a54b91a74e3a" /><Relationship Type="http://schemas.openxmlformats.org/officeDocument/2006/relationships/settings" Target="/word/settings.xml" Id="R18e583229fb74a2a" /><Relationship Type="http://schemas.openxmlformats.org/officeDocument/2006/relationships/styles" Target="/word/styles.xml" Id="Rf3c7f71978674a6b" /><Relationship Type="http://schemas.openxmlformats.org/officeDocument/2006/relationships/numbering" Target="/word/numbering.xml" Id="R1f6615095fd649b0" /><Relationship Type="http://schemas.openxmlformats.org/officeDocument/2006/relationships/hyperlink" Target="https://meteor-uat.aihw.gov.au/RegistrationAuthority/14" TargetMode="External" Id="Rce3c7da06322476d" /><Relationship Type="http://schemas.openxmlformats.org/officeDocument/2006/relationships/hyperlink" Target="https://meteor-uat.aihw.gov.au/RegistrationAuthority/9" TargetMode="External" Id="R1b0eb600b8484d8f" /><Relationship Type="http://schemas.openxmlformats.org/officeDocument/2006/relationships/hyperlink" Target="https://meteor-uat.aihw.gov.au/content/585240" TargetMode="External" Id="Rc52503c9abb247ec" /><Relationship Type="http://schemas.openxmlformats.org/officeDocument/2006/relationships/hyperlink" Target="https://meteor-uat.aihw.gov.au/content/585337" TargetMode="External" Id="Rba576d739c4f449c" /><Relationship Type="http://schemas.openxmlformats.org/officeDocument/2006/relationships/hyperlink" Target="https://informme.org.au/en/Guidelines/Guidelines-for-the-assessment-and-management-of-absolute-CVD-risk" TargetMode="External" Id="R35b3e21c06a44aff" /><Relationship Type="http://schemas.openxmlformats.org/officeDocument/2006/relationships/hyperlink" Target="https://meteor-uat.aihw.gov.au/content/585236" TargetMode="External" Id="Rd0a921cbed284f20" /><Relationship Type="http://schemas.openxmlformats.org/officeDocument/2006/relationships/hyperlink" Target="https://meteor-uat.aihw.gov.au/RegistrationAuthority/14" TargetMode="External" Id="R61ca9cb7926642ae" /><Relationship Type="http://schemas.openxmlformats.org/officeDocument/2006/relationships/hyperlink" Target="https://meteor-uat.aihw.gov.au/RegistrationAuthority/9" TargetMode="External" Id="R74de31ba97d6464c" /><Relationship Type="http://schemas.openxmlformats.org/officeDocument/2006/relationships/hyperlink" Target="https://meteor-uat.aihw.gov.au/content/694101" TargetMode="External" Id="R319dd711305d4c79" /><Relationship Type="http://schemas.openxmlformats.org/officeDocument/2006/relationships/hyperlink" Target="https://meteor-uat.aihw.gov.au/RegistrationAuthority/14" TargetMode="External" Id="Rd9fa22f4ddb2424b" /><Relationship Type="http://schemas.openxmlformats.org/officeDocument/2006/relationships/hyperlink" Target="https://meteor-uat.aihw.gov.au/RegistrationAuthority/9" TargetMode="External" Id="R033f2a40c58a4d85" /><Relationship Type="http://schemas.openxmlformats.org/officeDocument/2006/relationships/hyperlink" Target="https://meteor-uat.aihw.gov.au/content/707502" TargetMode="External" Id="Rb0d57c0a05fa45db" /><Relationship Type="http://schemas.openxmlformats.org/officeDocument/2006/relationships/hyperlink" Target="https://meteor-uat.aihw.gov.au/RegistrationAuthority/14" TargetMode="External" Id="R74c00cf9ca1d4558" /><Relationship Type="http://schemas.openxmlformats.org/officeDocument/2006/relationships/hyperlink" Target="https://meteor-uat.aihw.gov.au/RegistrationAuthority/9" TargetMode="External" Id="R26a7f4b760434a06" /><Relationship Type="http://schemas.openxmlformats.org/officeDocument/2006/relationships/hyperlink" Target="https://meteor-uat.aihw.gov.au/content/715320" TargetMode="External" Id="R38efd12cb70c4f8f" /><Relationship Type="http://schemas.openxmlformats.org/officeDocument/2006/relationships/hyperlink" Target="https://meteor-uat.aihw.gov.au/RegistrationAuthority/14" TargetMode="External" Id="Rfd9128e65986473a" /><Relationship Type="http://schemas.openxmlformats.org/officeDocument/2006/relationships/hyperlink" Target="https://meteor-uat.aihw.gov.au/content/738532" TargetMode="External" Id="Rfd920e6d0f4b4926" /><Relationship Type="http://schemas.openxmlformats.org/officeDocument/2006/relationships/hyperlink" Target="https://meteor-uat.aihw.gov.au/RegistrationAuthority/9" TargetMode="External" Id="Rff34f2165039422f" /><Relationship Type="http://schemas.openxmlformats.org/officeDocument/2006/relationships/hyperlink" Target="https://meteor-uat.aihw.gov.au/content/699031" TargetMode="External" Id="Rd723b600b8ff46d0" /><Relationship Type="http://schemas.openxmlformats.org/officeDocument/2006/relationships/hyperlink" Target="https://meteor-uat.aihw.gov.au/content/465948" TargetMode="External" Id="R64088475eaca4984" /><Relationship Type="http://schemas.openxmlformats.org/officeDocument/2006/relationships/hyperlink" Target="https://meteor-uat.aihw.gov.au/content/688009" TargetMode="External" Id="R5a69394b45074bac" /><Relationship Type="http://schemas.openxmlformats.org/officeDocument/2006/relationships/hyperlink" Target="https://meteor-uat.aihw.gov.au/RegistrationAuthority/14" TargetMode="External" Id="Ra20bb6db6b174a8f" /><Relationship Type="http://schemas.openxmlformats.org/officeDocument/2006/relationships/hyperlink" Target="https://meteor-uat.aihw.gov.au/RegistrationAuthority/9" TargetMode="External" Id="R50ab26fb2f3f42ee" /><Relationship Type="http://schemas.openxmlformats.org/officeDocument/2006/relationships/hyperlink" Target="https://meteor-uat.aihw.gov.au/content/717352" TargetMode="External" Id="R6a4b2c0bdd2f42fc" /><Relationship Type="http://schemas.openxmlformats.org/officeDocument/2006/relationships/hyperlink" Target="https://meteor-uat.aihw.gov.au/RegistrationAuthority/14" TargetMode="External" Id="R0919e0915d7b44e2" /><Relationship Type="http://schemas.openxmlformats.org/officeDocument/2006/relationships/hyperlink" Target="https://meteor-uat.aihw.gov.au/RegistrationAuthority/9" TargetMode="External" Id="Rd20b84d3dccc41eb" /><Relationship Type="http://schemas.openxmlformats.org/officeDocument/2006/relationships/hyperlink" Target="https://meteor-uat.aihw.gov.au/content/688012" TargetMode="External" Id="R9925aeeab25b41ba" /><Relationship Type="http://schemas.openxmlformats.org/officeDocument/2006/relationships/hyperlink" Target="https://meteor-uat.aihw.gov.au/RegistrationAuthority/14" TargetMode="External" Id="R48dd205ea3b84d2d" /><Relationship Type="http://schemas.openxmlformats.org/officeDocument/2006/relationships/hyperlink" Target="https://meteor-uat.aihw.gov.au/RegistrationAuthority/9" TargetMode="External" Id="R330de6b4d12c41b8" /><Relationship Type="http://schemas.openxmlformats.org/officeDocument/2006/relationships/hyperlink" Target="https://meteor-uat.aihw.gov.au/content/717354" TargetMode="External" Id="Ra32b7fe4064a4afe" /><Relationship Type="http://schemas.openxmlformats.org/officeDocument/2006/relationships/hyperlink" Target="https://meteor-uat.aihw.gov.au/RegistrationAuthority/14" TargetMode="External" Id="R6eea6fb0aae84ea6" /><Relationship Type="http://schemas.openxmlformats.org/officeDocument/2006/relationships/hyperlink" Target="https://meteor-uat.aihw.gov.au/RegistrationAuthority/9" TargetMode="External" Id="R5c1c2a0a2bd04c43" /><Relationship Type="http://schemas.openxmlformats.org/officeDocument/2006/relationships/hyperlink" Target="https://meteor-uat.aihw.gov.au/content/739468" TargetMode="External" Id="R4b28d93fe67b44ca" /><Relationship Type="http://schemas.openxmlformats.org/officeDocument/2006/relationships/hyperlink" Target="https://meteor-uat.aihw.gov.au/RegistrationAuthority/9" TargetMode="External" Id="R48e4b815e21742da" /><Relationship Type="http://schemas.openxmlformats.org/officeDocument/2006/relationships/hyperlink" Target="https://meteor-uat.aihw.gov.au/content/739470" TargetMode="External" Id="R6b4e4511d7c6442e" /><Relationship Type="http://schemas.openxmlformats.org/officeDocument/2006/relationships/hyperlink" Target="https://meteor-uat.aihw.gov.au/RegistrationAuthority/9" TargetMode="External" Id="R0dc8bedf1d494c31" /></Relationships>
</file>

<file path=word/_rels/header1.xml.rels>&#65279;<?xml version="1.0" encoding="utf-8"?><Relationships xmlns="http://schemas.openxmlformats.org/package/2006/relationships"><Relationship Type="http://schemas.openxmlformats.org/officeDocument/2006/relationships/image" Target="/media/image.png" Id="R54a4cb5f1d3e449c" /></Relationships>
</file>