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1d84660ec240d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f094044664abc">
              <w:r>
                <w:rPr>
                  <w:rStyle w:val="Hyperlink"/>
                  <w:color w:val="244061"/>
                </w:rPr>
                <w:t xml:space="preserve">Indigenous</w:t>
              </w:r>
            </w:hyperlink>
            <w:r>
              <w:rPr>
                <w:rStyle w:val="row-content"/>
                <w:color w:val="244061"/>
              </w:rPr>
              <w:t xml:space="preserve">, Superseded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by leading causes of death (International Statistical Classification of Diseases and Related Health Problems, 10th revision (ICD-10) (2015 version) chapter level), by Indigenous status.</w:t>
            </w:r>
          </w:p>
          <w:p>
            <w:pPr/>
            <w:r>
              <w:rPr>
                <w:rStyle w:val="row-content-rich-text"/>
              </w:rPr>
              <w:t xml:space="preserve">The Australian Bureau of Statistics (ABS) data for this indicator are for perinatal mortality, infant mortality (birth to less than 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the key component of measuring the Closing the Gap target to ‘Halve the gap in mortality rates for Indigenous children under 5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502f9c6ab6429b">
              <w:r>
                <w:rPr>
                  <w:rStyle w:val="Hyperlink"/>
                </w:rPr>
                <w:t xml:space="preserve">National Indigenous Reform Agreement (2019)</w:t>
              </w:r>
            </w:hyperlink>
          </w:p>
          <w:p>
            <w:pPr>
              <w:pStyle w:val="registration-status"/>
              <w:spacing w:before="0" w:after="0"/>
            </w:pPr>
            <w:hyperlink w:history="true" r:id="R59ea17ad6b364afc">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f2d668d717c4545">
              <w:r>
                <w:rPr>
                  <w:rStyle w:val="Hyperlink"/>
                </w:rPr>
                <w:t xml:space="preserve">Indigenous children have the same health outcomes as other Australian children</w:t>
              </w:r>
            </w:hyperlink>
          </w:p>
          <w:p>
            <w:pPr>
              <w:pStyle w:val="registration-status"/>
              <w:spacing w:before="0" w:after="0"/>
            </w:pPr>
            <w:hyperlink w:history="true" r:id="Rf12bdfd6a2284fd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77a666bb0bc4420">
              <w:r>
                <w:rPr>
                  <w:rStyle w:val="Hyperlink"/>
                </w:rPr>
                <w:t xml:space="preserve">National Indigenous Reform Agreement: PI 06-Under five mortality rate by leading cause, 2019; Quality Statement </w:t>
              </w:r>
            </w:hyperlink>
          </w:p>
          <w:p>
            <w:pPr>
              <w:pStyle w:val="registration-status"/>
              <w:spacing w:before="0" w:after="0"/>
            </w:pPr>
            <w:hyperlink w:history="true" r:id="Rd40b992dc66f4fcd">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 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population from 1 year of age to less than 5 years of age</w:t>
            </w:r>
          </w:p>
          <w:p>
            <w:pPr>
              <w:pStyle w:val="ListParagraph"/>
              <w:numPr>
                <w:ilvl w:val="0"/>
                <w:numId w:val="2"/>
              </w:numPr>
            </w:pPr>
            <w:r>
              <w:rPr>
                <w:rStyle w:val="row-content-rich-text"/>
              </w:rPr>
              <w:t xml:space="preserve">For children aged 0–4: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and children aged 0–4:</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b/>
              </w:rPr>
              <w:t xml:space="preserve">Presentation:</w:t>
            </w:r>
          </w:p>
          <w:p>
            <w:pPr>
              <w:spacing w:after="160"/>
            </w:pPr>
            <w:r>
              <w:rPr>
                <w:rStyle w:val="row-content-rich-text"/>
              </w:rPr>
              <w:t xml:space="preserve">Number, percentage, rate per 1,000 of all births (perinatal), rate per 1,000 live births (infant), rate per 100,000 population (children aged 1–4 and 0–4 ),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b/>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spacing w:after="160"/>
            </w:pPr>
            <w:r>
              <w:rPr>
                <w:rStyle w:val="row-content-rich-text"/>
                <w:b/>
              </w:rPr>
              <w:t xml:space="preserve">Perinatal mortality:</w:t>
            </w:r>
          </w:p>
          <w:p>
            <w:pPr>
              <w:spacing w:after="160"/>
            </w:pPr>
            <w:r>
              <w:rPr>
                <w:rStyle w:val="row-content-rich-text"/>
              </w:rPr>
              <w:t xml:space="preserve">Main condition in the fetus/infant:</w:t>
            </w:r>
          </w:p>
          <w:p>
            <w:pPr>
              <w:pStyle w:val="ListParagraph"/>
              <w:numPr>
                <w:ilvl w:val="0"/>
                <w:numId w:val="4"/>
              </w:numPr>
            </w:pPr>
            <w:r>
              <w:rPr>
                <w:rStyle w:val="row-content-rich-text"/>
              </w:rPr>
              <w:t xml:space="preserve">Disorders related to length of gestation and fetal growth (P05–P08)</w:t>
            </w:r>
          </w:p>
          <w:p>
            <w:pPr>
              <w:pStyle w:val="ListParagraph"/>
              <w:numPr>
                <w:ilvl w:val="0"/>
                <w:numId w:val="4"/>
              </w:numPr>
            </w:pPr>
            <w:r>
              <w:rPr>
                <w:rStyle w:val="row-content-rich-text"/>
              </w:rPr>
              <w:t xml:space="preserve">Respiratory and cardiovascular disorders specific to the perinatal period (P20–P29)</w:t>
            </w:r>
          </w:p>
          <w:p>
            <w:pPr>
              <w:pStyle w:val="ListParagraph"/>
              <w:numPr>
                <w:ilvl w:val="0"/>
                <w:numId w:val="4"/>
              </w:numPr>
            </w:pPr>
            <w:r>
              <w:rPr>
                <w:rStyle w:val="row-content-rich-text"/>
              </w:rPr>
              <w:t xml:space="preserve">Infections specific to the perinatal period (P35–P39)</w:t>
            </w:r>
          </w:p>
          <w:p>
            <w:pPr>
              <w:pStyle w:val="ListParagraph"/>
              <w:numPr>
                <w:ilvl w:val="0"/>
                <w:numId w:val="4"/>
              </w:numPr>
            </w:pPr>
            <w:r>
              <w:rPr>
                <w:rStyle w:val="row-content-rich-text"/>
              </w:rPr>
              <w:t xml:space="preserve">Other conditions originating in the perinatal period (P10–P15, P90–P96)</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Other conditions</w:t>
            </w:r>
          </w:p>
          <w:p>
            <w:pPr>
              <w:pStyle w:val="ListParagraph"/>
              <w:numPr>
                <w:ilvl w:val="0"/>
                <w:numId w:val="4"/>
              </w:numPr>
            </w:pPr>
            <w:r>
              <w:rPr>
                <w:rStyle w:val="row-content-rich-text"/>
              </w:rPr>
              <w:t xml:space="preserve">Total (all causes).</w:t>
            </w:r>
          </w:p>
          <w:p>
            <w:pPr>
              <w:spacing w:after="160"/>
            </w:pPr>
            <w:r>
              <w:rPr>
                <w:rStyle w:val="row-content-rich-text"/>
              </w:rPr>
              <w:t xml:space="preserve">Main condition in the mother, fetus and newborn affected by:</w:t>
            </w:r>
          </w:p>
          <w:p>
            <w:pPr>
              <w:pStyle w:val="ListParagraph"/>
              <w:numPr>
                <w:ilvl w:val="0"/>
                <w:numId w:val="5"/>
              </w:numPr>
            </w:pPr>
            <w:r>
              <w:rPr>
                <w:rStyle w:val="row-content-rich-text"/>
              </w:rPr>
              <w:t xml:space="preserve">Maternal conditions that may be unrelated to present pregnancy (P00)</w:t>
            </w:r>
          </w:p>
          <w:p>
            <w:pPr>
              <w:pStyle w:val="ListParagraph"/>
              <w:numPr>
                <w:ilvl w:val="0"/>
                <w:numId w:val="5"/>
              </w:numPr>
            </w:pPr>
            <w:r>
              <w:rPr>
                <w:rStyle w:val="row-content-rich-text"/>
              </w:rPr>
              <w:t xml:space="preserve">Maternal complications of pregnancy (P01)</w:t>
            </w:r>
          </w:p>
          <w:p>
            <w:pPr>
              <w:pStyle w:val="ListParagraph"/>
              <w:numPr>
                <w:ilvl w:val="0"/>
                <w:numId w:val="5"/>
              </w:numPr>
            </w:pPr>
            <w:r>
              <w:rPr>
                <w:rStyle w:val="row-content-rich-text"/>
              </w:rPr>
              <w:t xml:space="preserve">Complications of placenta, cord and membranes (P02)</w:t>
            </w:r>
          </w:p>
          <w:p>
            <w:pPr>
              <w:pStyle w:val="ListParagraph"/>
              <w:numPr>
                <w:ilvl w:val="0"/>
                <w:numId w:val="5"/>
              </w:numPr>
            </w:pPr>
            <w:r>
              <w:rPr>
                <w:rStyle w:val="row-content-rich-text"/>
              </w:rPr>
              <w:t xml:space="preserve">Other complications of labour and delivery and noxious influences transmitted via placenta or breast milk (P03–P04)</w:t>
            </w:r>
          </w:p>
          <w:p>
            <w:pPr>
              <w:pStyle w:val="ListParagraph"/>
              <w:numPr>
                <w:ilvl w:val="0"/>
                <w:numId w:val="5"/>
              </w:numPr>
            </w:pPr>
            <w:r>
              <w:rPr>
                <w:rStyle w:val="row-content-rich-text"/>
              </w:rPr>
              <w:t xml:space="preserve">Total (all causes).</w:t>
            </w:r>
          </w:p>
          <w:p>
            <w:pPr>
              <w:spacing w:after="160"/>
            </w:pPr>
            <w:r>
              <w:rPr>
                <w:rStyle w:val="row-content-rich-text"/>
                <w:b/>
              </w:rPr>
              <w:t xml:space="preserve">Infant mortality:</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r>
              <w:br/>
            </w:r>
            <w:r>
              <w:rPr>
                <w:rStyle w:val="row-content-rich-text"/>
              </w:rPr>
              <w:t xml:space="preserve">        • Sudden infant death syndrome (R95)</w:t>
            </w:r>
            <w:r>
              <w:br/>
            </w:r>
            <w:r>
              <w:rPr>
                <w:rStyle w:val="row-content-rich-text"/>
              </w:rPr>
              <w:t xml:space="preserve">        • Sudden unexpected death in infancy (R99)</w:t>
            </w:r>
          </w:p>
          <w:p>
            <w:pPr>
              <w:pStyle w:val="ListParagraph"/>
              <w:numPr>
                <w:ilvl w:val="0"/>
                <w:numId w:val="6"/>
              </w:numPr>
            </w:pPr>
            <w:r>
              <w:rPr>
                <w:rStyle w:val="row-content-rich-text"/>
              </w:rPr>
              <w:t xml:space="preserve">Injury and poisoning (V01–Y98)</w:t>
            </w:r>
          </w:p>
          <w:p>
            <w:pPr>
              <w:pStyle w:val="ListParagraph"/>
              <w:numPr>
                <w:ilvl w:val="0"/>
                <w:numId w:val="6"/>
              </w:numPr>
            </w:pPr>
            <w:r>
              <w:rPr>
                <w:rStyle w:val="row-content-rich-text"/>
              </w:rPr>
              <w:t xml:space="preserve">Other causes </w:t>
            </w:r>
          </w:p>
          <w:p>
            <w:pPr>
              <w:pStyle w:val="ListParagraph"/>
              <w:numPr>
                <w:ilvl w:val="0"/>
                <w:numId w:val="6"/>
              </w:numPr>
            </w:pPr>
            <w:r>
              <w:rPr>
                <w:rStyle w:val="row-content-rich-text"/>
              </w:rPr>
              <w:t xml:space="preserve">Total (all causes).</w:t>
            </w:r>
          </w:p>
          <w:p>
            <w:pPr>
              <w:spacing w:after="160"/>
            </w:pPr>
            <w:r>
              <w:rPr>
                <w:rStyle w:val="row-content-rich-text"/>
                <w:b/>
              </w:rPr>
              <w:t xml:space="preserve">Child aged 1–4 mortality:</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Congenital malformations, deformations and chromosomal abnormalities (Q00–Q99)</w:t>
            </w:r>
          </w:p>
          <w:p>
            <w:pPr>
              <w:pStyle w:val="ListParagraph"/>
              <w:numPr>
                <w:ilvl w:val="0"/>
                <w:numId w:val="7"/>
              </w:numPr>
            </w:pPr>
            <w:r>
              <w:rPr>
                <w:rStyle w:val="row-content-rich-text"/>
              </w:rPr>
              <w:t xml:space="preserve">Symptoms, signs and abnormal clinical and laboratory findings, not elsewhere classified (R00–R99)</w:t>
            </w:r>
          </w:p>
          <w:p>
            <w:pPr>
              <w:pStyle w:val="ListParagraph"/>
              <w:numPr>
                <w:ilvl w:val="0"/>
                <w:numId w:val="7"/>
              </w:numPr>
            </w:pPr>
            <w:r>
              <w:rPr>
                <w:rStyle w:val="row-content-rich-text"/>
              </w:rPr>
              <w:t xml:space="preserve">Injury and poisoning (V01–Y98)</w:t>
            </w:r>
          </w:p>
          <w:p>
            <w:pPr>
              <w:pStyle w:val="ListParagraph"/>
              <w:numPr>
                <w:ilvl w:val="0"/>
                <w:numId w:val="7"/>
              </w:numPr>
            </w:pPr>
            <w:r>
              <w:rPr>
                <w:rStyle w:val="row-content-rich-text"/>
              </w:rPr>
              <w:t xml:space="preserve">Other causes  </w:t>
            </w:r>
          </w:p>
          <w:p>
            <w:pPr>
              <w:pStyle w:val="ListParagraph"/>
              <w:numPr>
                <w:ilvl w:val="0"/>
                <w:numId w:val="7"/>
              </w:numPr>
            </w:pPr>
            <w:r>
              <w:rPr>
                <w:rStyle w:val="row-content-rich-text"/>
              </w:rPr>
              <w:t xml:space="preserve">Total (all causes).</w:t>
            </w:r>
          </w:p>
          <w:p>
            <w:pPr>
              <w:spacing w:after="160"/>
            </w:pPr>
            <w:r>
              <w:rPr>
                <w:rStyle w:val="row-content-rich-text"/>
                <w:b/>
              </w:rPr>
              <w:t xml:space="preserve">Child aged 0–4 mortality:</w:t>
            </w:r>
          </w:p>
          <w:p>
            <w:pPr>
              <w:pStyle w:val="ListParagraph"/>
              <w:numPr>
                <w:ilvl w:val="0"/>
                <w:numId w:val="8"/>
              </w:numPr>
            </w:pPr>
            <w:r>
              <w:rPr>
                <w:rStyle w:val="row-content-rich-text"/>
              </w:rPr>
              <w:t xml:space="preserve">Certain infectious and parasitic diseases (A00–B99)</w:t>
            </w:r>
          </w:p>
          <w:p>
            <w:pPr>
              <w:pStyle w:val="ListParagraph"/>
              <w:numPr>
                <w:ilvl w:val="0"/>
                <w:numId w:val="8"/>
              </w:numPr>
            </w:pPr>
            <w:r>
              <w:rPr>
                <w:rStyle w:val="row-content-rich-text"/>
              </w:rPr>
              <w:t xml:space="preserve">Diseases of the nervous system (G00–G99)</w:t>
            </w:r>
          </w:p>
          <w:p>
            <w:pPr>
              <w:pStyle w:val="ListParagraph"/>
              <w:numPr>
                <w:ilvl w:val="0"/>
                <w:numId w:val="8"/>
              </w:numPr>
            </w:pPr>
            <w:r>
              <w:rPr>
                <w:rStyle w:val="row-content-rich-text"/>
              </w:rPr>
              <w:t xml:space="preserve">Diseases of the circulatory system (I00–I99)</w:t>
            </w:r>
          </w:p>
          <w:p>
            <w:pPr>
              <w:pStyle w:val="ListParagraph"/>
              <w:numPr>
                <w:ilvl w:val="0"/>
                <w:numId w:val="8"/>
              </w:numPr>
            </w:pPr>
            <w:r>
              <w:rPr>
                <w:rStyle w:val="row-content-rich-text"/>
              </w:rPr>
              <w:t xml:space="preserve">Diseases of the respiratory system (J00–J99)</w:t>
            </w:r>
          </w:p>
          <w:p>
            <w:pPr>
              <w:pStyle w:val="ListParagraph"/>
              <w:numPr>
                <w:ilvl w:val="0"/>
                <w:numId w:val="8"/>
              </w:numPr>
            </w:pPr>
            <w:r>
              <w:rPr>
                <w:rStyle w:val="row-content-rich-text"/>
              </w:rPr>
              <w:t xml:space="preserve">Certain conditions originating in the perinatal period (P00–P96)</w:t>
            </w:r>
          </w:p>
          <w:p>
            <w:pPr>
              <w:pStyle w:val="ListParagraph"/>
              <w:numPr>
                <w:ilvl w:val="0"/>
                <w:numId w:val="8"/>
              </w:numPr>
            </w:pPr>
            <w:r>
              <w:rPr>
                <w:rStyle w:val="row-content-rich-text"/>
              </w:rPr>
              <w:t xml:space="preserve">Congenital malformations, deformations and chromosomal abnormalities (Q00–Q99)</w:t>
            </w:r>
          </w:p>
          <w:p>
            <w:pPr>
              <w:pStyle w:val="ListParagraph"/>
              <w:numPr>
                <w:ilvl w:val="0"/>
                <w:numId w:val="8"/>
              </w:numPr>
            </w:pPr>
            <w:r>
              <w:rPr>
                <w:rStyle w:val="row-content-rich-text"/>
              </w:rPr>
              <w:t xml:space="preserve">Symptoms, signs and abnormal clinical and laboratory findings, not elsewhere classified (R00–R99)</w:t>
            </w:r>
          </w:p>
          <w:p>
            <w:pPr>
              <w:pStyle w:val="ListParagraph"/>
              <w:numPr>
                <w:ilvl w:val="0"/>
                <w:numId w:val="8"/>
              </w:numPr>
            </w:pPr>
            <w:r>
              <w:rPr>
                <w:rStyle w:val="row-content-rich-text"/>
              </w:rPr>
              <w:t xml:space="preserve">Injury and poisoning (V01–Y98)</w:t>
            </w:r>
          </w:p>
          <w:p>
            <w:pPr>
              <w:pStyle w:val="ListParagraph"/>
              <w:numPr>
                <w:ilvl w:val="0"/>
                <w:numId w:val="8"/>
              </w:numPr>
            </w:pPr>
            <w:r>
              <w:rPr>
                <w:rStyle w:val="row-content-rich-text"/>
              </w:rPr>
              <w:t xml:space="preserve">Other causes </w:t>
            </w:r>
          </w:p>
          <w:p>
            <w:pPr>
              <w:pStyle w:val="ListParagraph"/>
              <w:numPr>
                <w:ilvl w:val="0"/>
                <w:numId w:val="8"/>
              </w:numPr>
            </w:pPr>
            <w:r>
              <w:rPr>
                <w:rStyle w:val="row-content-rich-text"/>
              </w:rPr>
              <w:t xml:space="preserve">Total (all causes).</w:t>
            </w:r>
          </w:p>
          <w:p>
            <w:pPr>
              <w:spacing w:after="160"/>
            </w:pPr>
            <w:r>
              <w:rPr>
                <w:rStyle w:val="row-content-rich-text"/>
                <w:b/>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 </w:t>
            </w:r>
            <w:r>
              <w:rPr>
                <w:rStyle w:val="row-content-rich-text"/>
              </w:rPr>
              <w:t xml:space="preserve">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 and infant mortality rates:</w:t>
            </w:r>
            <w:r>
              <w:rPr>
                <w:rStyle w:val="row-content-rich-text"/>
              </w:rPr>
              <w:t xml:space="preserve"> 1000 x (Numerator ÷ Denominator).</w:t>
            </w:r>
          </w:p>
          <w:p>
            <w:pPr>
              <w:spacing w:after="160"/>
            </w:pPr>
            <w:r>
              <w:rPr>
                <w:rStyle w:val="row-content-rich-text"/>
                <w:b/>
              </w:rPr>
              <w:t xml:space="preserve">Child aged 1–4 and 0–4 mortality rates:</w:t>
            </w:r>
            <w:r>
              <w:rPr>
                <w:rStyle w:val="row-content-rich-text"/>
              </w:rPr>
              <w:t xml:space="preserve"> 100,000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b/>
              </w:rPr>
              <w:t xml:space="preserve">Crude rate:</w:t>
            </w:r>
          </w:p>
          <w:p>
            <w:pPr>
              <w:spacing w:after="160"/>
            </w:pPr>
            <w:r>
              <w:rPr>
                <w:rStyle w:val="row-content-rich-text"/>
              </w:rPr>
              <w:t xml:space="preserve"> </w:t>
            </w:r>
          </w:p>
          <w:p>
            <w:pPr>
              <w:spacing w:after="160"/>
            </w:pPr>
            <w:r>
              <w:rPr>
                <w:rStyle w:val="row-content-rich-text"/>
              </w:rPr>
              <w:t xml:space="preserve"> </w:t>
            </w:r>
          </w:p>
          <w:p>
            <w:r>
              <w:drawing>
                <wp:inline xmlns:wp="http://schemas.openxmlformats.org/drawingml/2006/wordprocessingDrawing" distT="0" distB="0" distL="0" distR="0">
                  <wp:extent cx="3095625" cy="7429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db21a1a65ba441a"/>
                          <a:srcRect/>
                          <a:stretch>
                            <a:fillRect/>
                          </a:stretch>
                        </pic:blipFill>
                        <pic:spPr bwMode="auto">
                          <a:xfrm>
                            <a:off x="0" y="0"/>
                            <a:ext cx="3095625" cy="7429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i/>
              </w:rPr>
              <w:t xml:space="preserve">p</w:t>
            </w:r>
            <w:r>
              <w:rPr>
                <w:rStyle w:val="row-content-rich-text"/>
              </w:rPr>
              <w:t xml:space="preserve"> = mortality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denominator used to calculate mortality rate.</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CIs do not include zero, then it can be concluded that there is statistical evidence of an increasing or decreasing trend in the data over the study period.</w:t>
            </w:r>
          </w:p>
          <w:p>
            <w:pPr>
              <w:spacing w:after="160"/>
            </w:pPr>
            <w:r>
              <w:rPr>
                <w:rStyle w:val="row-content-rich-text"/>
                <w:b/>
              </w:rPr>
              <w:t xml:space="preserve">Definitions:</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w:t>
            </w:r>
            <w:r>
              <w:rPr>
                <w:rStyle w:val="row-content-rich-text"/>
              </w:rPr>
              <w:t xml:space="preserve"> Number of perinatal deaths (fetal and neonatal)</w:t>
            </w:r>
          </w:p>
          <w:p>
            <w:pPr>
              <w:spacing w:after="160"/>
            </w:pPr>
            <w:r>
              <w:rPr>
                <w:rStyle w:val="row-content-rich-text"/>
                <w:b/>
              </w:rPr>
              <w:t xml:space="preserve">Infant: </w:t>
            </w:r>
            <w:r>
              <w:rPr>
                <w:rStyle w:val="row-content-rich-text"/>
              </w:rPr>
              <w:t xml:space="preserve">Number of deaths among children aged less than 1 year</w:t>
            </w:r>
          </w:p>
          <w:p>
            <w:pPr>
              <w:spacing w:after="160"/>
            </w:pPr>
            <w:r>
              <w:rPr>
                <w:rStyle w:val="row-content-rich-text"/>
                <w:b/>
              </w:rPr>
              <w:t xml:space="preserve">Child aged 1–4: </w:t>
            </w:r>
            <w:r>
              <w:rPr>
                <w:rStyle w:val="row-content-rich-text"/>
              </w:rPr>
              <w:t xml:space="preserve">Number of deaths among children aged 1–4 years</w:t>
            </w:r>
          </w:p>
          <w:p>
            <w:pPr/>
            <w:r>
              <w:rPr>
                <w:rStyle w:val="row-content-rich-text"/>
                <w:b/>
              </w:rPr>
              <w:t xml:space="preserve">Child aged 0–4:</w:t>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080a301e8f24aa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6bee2210f973439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Number of fetal and neonatal deaths.</w:t>
            </w:r>
          </w:p>
          <w:p>
            <w:r>
              <w:rPr>
                <w:rStyle w:val="row-content"/>
                <w:b/>
              </w:rPr>
              <w:t xml:space="preserve">Data Source</w:t>
            </w:r>
          </w:p>
          <w:p>
            <w:hyperlink w:history="true" r:id="R5b60e933174840b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b6bc7986edb64e5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7bd014b1edc04ec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 aged 1–4: Population aged 1–4 years</w:t>
            </w:r>
          </w:p>
          <w:p>
            <w:pPr/>
            <w:r>
              <w:rPr>
                <w:rStyle w:val="row-content-rich-text"/>
              </w:rPr>
              <w:t xml:space="preserve">Child aged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36bb6aff8a68491e">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7c39a31c0664ad9">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ERP is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e8579c518af4fb0">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Estimated resident population (ERP) is derived from Census, Census Post Enumeration Survey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0bcb938d6ff4752">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05ba628bcbb4faf">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 5-year aggregate 2013–2017 supplied for perinatal, infant, child aged 1–4, and child aged 0–4 by all causes and by cause of death.</w:t>
            </w:r>
          </w:p>
          <w:p>
            <w:pPr>
              <w:spacing w:after="160"/>
            </w:pPr>
            <w:r>
              <w:rPr>
                <w:rStyle w:val="row-content-rich-text"/>
              </w:rPr>
              <w:t xml:space="preserve">For Indigenous and non-Indigenous Australians (numbers, rates, percentage, rate ratios, rate differences, variability bands):</w:t>
            </w:r>
          </w:p>
          <w:p>
            <w:pPr>
              <w:pStyle w:val="ListParagraph"/>
              <w:numPr>
                <w:ilvl w:val="0"/>
                <w:numId w:val="9"/>
              </w:numPr>
            </w:pPr>
            <w:r>
              <w:rPr>
                <w:rStyle w:val="row-content-rich-text"/>
              </w:rPr>
              <w:t xml:space="preserve">Total (selected states/territories) by leading cause of death including total (ICD-10 chapter level and some subchapter level) by age group (perinatal, infant, child aged 1–4, and child aged 0–4).</w:t>
            </w:r>
          </w:p>
          <w:p>
            <w:pPr>
              <w:spacing w:after="160"/>
            </w:pPr>
            <w:r>
              <w:rPr>
                <w:rStyle w:val="row-content-rich-text"/>
              </w:rPr>
              <w:t xml:space="preserve">For Indigenous and non-Indigenous Australians (numbers, rates, rate ratios, and rate differences):</w:t>
            </w:r>
          </w:p>
          <w:p>
            <w:pPr>
              <w:pStyle w:val="ListParagraph"/>
              <w:numPr>
                <w:ilvl w:val="0"/>
                <w:numId w:val="10"/>
              </w:numPr>
            </w:pPr>
            <w:r>
              <w:rPr>
                <w:rStyle w:val="row-content-rich-text"/>
              </w:rPr>
              <w:t xml:space="preserve">State/territory (including total) by age group (perinatal (fetal, neonatal and total perinatal), infant, child aged 1–4 and child aged 0–4).</w:t>
            </w:r>
          </w:p>
          <w:p>
            <w:pPr>
              <w:pStyle w:val="ListParagraph"/>
              <w:numPr>
                <w:ilvl w:val="0"/>
                <w:numId w:val="10"/>
              </w:numPr>
            </w:pPr>
            <w:r>
              <w:rPr>
                <w:rStyle w:val="row-content-rich-text"/>
              </w:rPr>
              <w:t xml:space="preserve">Total (selected states/territories) by age group (infant, child aged 1–4, and child aged 0–4): all causes of death.</w:t>
            </w:r>
          </w:p>
          <w:p>
            <w:pPr>
              <w:pStyle w:val="ListParagraph"/>
              <w:numPr>
                <w:ilvl w:val="0"/>
                <w:numId w:val="10"/>
              </w:numPr>
            </w:pPr>
            <w:r>
              <w:rPr>
                <w:rStyle w:val="row-content-rich-text"/>
              </w:rPr>
              <w:t xml:space="preserve">State/territory (including total) by age group (infant, child aged 1–4, and child aged 0–4): all causes of death.</w:t>
            </w:r>
          </w:p>
          <w:p>
            <w:pPr>
              <w:spacing w:after="160"/>
            </w:pPr>
            <w:r>
              <w:rPr>
                <w:rStyle w:val="row-content-rich-text"/>
              </w:rPr>
              <w:t xml:space="preserve">Time series:</w:t>
            </w:r>
          </w:p>
          <w:p>
            <w:pPr>
              <w:spacing w:after="160"/>
            </w:pPr>
            <w:r>
              <w:rPr>
                <w:rStyle w:val="row-content-rich-text"/>
              </w:rPr>
              <w:t xml:space="preserve">Single year data:</w:t>
            </w:r>
          </w:p>
          <w:p>
            <w:pPr>
              <w:pStyle w:val="ListParagraph"/>
              <w:numPr>
                <w:ilvl w:val="0"/>
                <w:numId w:val="11"/>
              </w:numPr>
            </w:pPr>
            <w:r>
              <w:rPr>
                <w:rStyle w:val="row-content-rich-text"/>
              </w:rPr>
              <w:t xml:space="preserve">2007, 2008, 2009, 2010, 2011, 2012, 2013, 2014, 2015, 2016 and 2017 (by all causes of death for infant and child aged 0–4; data for the years pre-2017 have been provided previously).</w:t>
            </w:r>
          </w:p>
          <w:p>
            <w:pPr>
              <w:pStyle w:val="ListParagraph"/>
              <w:numPr>
                <w:ilvl w:val="0"/>
                <w:numId w:val="11"/>
              </w:numPr>
            </w:pPr>
            <w:r>
              <w:rPr>
                <w:rStyle w:val="row-content-rich-text"/>
              </w:rPr>
              <w:t xml:space="preserve">2006, 2007, 2008, 2009, 2010, 2011, 2012, 2013, 2014, 2015 and 2016 (previously provided) and 2017 (by all cause and cause of death for perinatal)</w:t>
            </w:r>
          </w:p>
          <w:p>
            <w:pPr>
              <w:spacing w:after="160"/>
            </w:pPr>
            <w:r>
              <w:rPr>
                <w:rStyle w:val="row-content-rich-text"/>
              </w:rPr>
              <w:t xml:space="preserve">Up until the 2015-16 reporting cycle, causes of death and perinatal data lagged a year behind the all causes data. Final revised cause of death data are also provided for 2014 and preliminary revised data are provided for 2015. Revised preliminary data for 2016 are yet to be available for reporting.</w:t>
            </w:r>
          </w:p>
          <w:p>
            <w:pPr>
              <w:spacing w:after="160"/>
            </w:pPr>
            <w:r>
              <w:rPr>
                <w:rStyle w:val="row-content-rich-text"/>
              </w:rPr>
              <w:t xml:space="preserve"> </w:t>
            </w:r>
          </w:p>
          <w:p>
            <w:pPr>
              <w:spacing w:after="160"/>
            </w:pPr>
            <w:r>
              <w:rPr>
                <w:rStyle w:val="row-content-rich-text"/>
              </w:rPr>
              <w:t xml:space="preserve">For Indigenous and non-Indigenous Australians (numbers, rates, rate ratios, rate differences, variability bands, percentage change and statistical significance of change):</w:t>
            </w:r>
          </w:p>
          <w:p>
            <w:pPr>
              <w:pStyle w:val="ListParagraph"/>
              <w:numPr>
                <w:ilvl w:val="0"/>
                <w:numId w:val="12"/>
              </w:numPr>
            </w:pPr>
            <w:r>
              <w:rPr>
                <w:rStyle w:val="row-content-rich-text"/>
              </w:rPr>
              <w:t xml:space="preserve">Total (selected states/territories) by age group (perinatal, infant, and child aged 0–4).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1c7107ff39514ef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f290c1c30b4416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6a646d021a8040f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f685d42858e44b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b00f77c91e884d9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1940330d7a2e414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6f09b3523d74776">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924bfb3c5b46429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is 2017 for infant, child and perinatal mortality (both causes of death and all causes data). 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 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(New South Wales, Queensland, Western Australia, South Australia and the Northern Territory) are considered of acceptable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aged 0 to 4.</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rPr>
              <w:t xml:space="preserve">Perinatal, infant and child mortality:</w:t>
            </w:r>
          </w:p>
          <w:p>
            <w:pPr>
              <w:spacing w:after="160"/>
            </w:pPr>
            <w:r>
              <w:rPr>
                <w:rStyle w:val="row-content-rich-text"/>
              </w:rPr>
              <w:t xml:space="preserve">Aggregated data (2013–2017) will be reported for both all causes mortality and causes of death data.</w:t>
            </w:r>
          </w:p>
          <w:p>
            <w:pPr>
              <w:spacing w:after="160"/>
            </w:pPr>
            <w:r>
              <w:rPr>
                <w:rStyle w:val="row-content-rich-text"/>
              </w:rPr>
              <w:t xml:space="preserve">Up until the 2015-16 reporting cycle, causes of death data for infants and children lagged a year behind the all causes data.</w:t>
            </w:r>
          </w:p>
          <w:p>
            <w:pPr>
              <w:spacing w:after="160"/>
            </w:pPr>
            <w:r>
              <w:rPr>
                <w:rStyle w:val="row-content-rich-text"/>
              </w:rPr>
              <w:t xml:space="preserve">Single year data (2006, 2007, 2008, 2009, 2010, 2011, 2012, 2013, 2014, 2015, 2016 and 2017) will be reported for time series analyses (all causes mortality and national level only). For the 2019 report, data re-supplied for 2014 (final revised) and 2015 (preliminary revised) for cause of death data.</w:t>
            </w:r>
          </w:p>
          <w:p>
            <w:pPr>
              <w:spacing w:after="160"/>
            </w:pPr>
            <w:r>
              <w:rPr>
                <w:rStyle w:val="row-content-rich-text"/>
              </w:rPr>
              <w:t xml:space="preserve"> </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Australians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National Indigenous Reform Agreement target (Halve the gap in mortality rates for Indigenous children under 5 within a decade) is 2008; data reported for this indicator since 2006; target year is 2018.</w:t>
            </w:r>
          </w:p>
          <w:p>
            <w:pPr>
              <w:spacing w:after="160"/>
            </w:pPr>
            <w:r>
              <w:rPr>
                <w:rStyle w:val="row-content-rich-text"/>
              </w:rPr>
              <w:t xml:space="preserve">Child aged 1–4 and child aged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d85b0e4fb943bc">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c654f0804c4822">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135dd189bcf47d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cfec74d37604749">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687c1ee5d84b50">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928c7006c4594b48">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3bdd2611c7a4834">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28cc2b269764ae1">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7da21c35a14e7e">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2017. Aboriginal and Torres Strait Islander Health Performance Framework 2017: supplementary online tables. Cat. no. WEB 170. Canberra: AIHW.</w:t>
            </w:r>
          </w:p>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f49286fad54456">
              <w:r>
                <w:rPr>
                  <w:rStyle w:val="Hyperlink"/>
                </w:rPr>
                <w:t xml:space="preserve">National Indigenous Reform Agreement: PI 06-Under five mortality rate by leading cause, 2018</w:t>
              </w:r>
            </w:hyperlink>
          </w:p>
          <w:p>
            <w:pPr>
              <w:pStyle w:val="registration-status"/>
              <w:spacing w:before="0" w:after="0"/>
            </w:pPr>
            <w:hyperlink w:history="true" r:id="Ra20ecc7ace9842d1">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3d73d3f110b24572">
              <w:r>
                <w:rPr>
                  <w:rStyle w:val="Hyperlink"/>
                </w:rPr>
                <w:t xml:space="preserve">National Indigenous Reform Agreement: PI 06-Under five mortality rate by leading cause, 2020</w:t>
              </w:r>
            </w:hyperlink>
          </w:p>
          <w:p>
            <w:pPr>
              <w:pStyle w:val="registration-status"/>
              <w:spacing w:before="0" w:after="0"/>
            </w:pPr>
            <w:hyperlink w:history="true" r:id="R4a641e34477b44d0">
              <w:r>
                <w:rPr>
                  <w:rStyle w:val="Hyperlink"/>
                  <w:color w:val="244061"/>
                </w:rPr>
                <w:t xml:space="preserve">Indigenous</w:t>
              </w:r>
            </w:hyperlink>
            <w:r>
              <w:rPr>
                <w:rStyle w:val="row-content"/>
                <w:color w:val="244061"/>
              </w:rPr>
              <w:t xml:space="preserve">, Standard 17/11/2019</w:t>
            </w:r>
          </w:p>
          <w:p>
            <w:r>
              <w:br/>
            </w:r>
            <w:r>
              <w:rPr>
                <w:rStyle w:val="row-content"/>
              </w:rPr>
              <w:t xml:space="preserve">See also </w:t>
            </w:r>
            <w:hyperlink w:history="true" r:id="R079d81a3b3414b35">
              <w:r>
                <w:rPr>
                  <w:rStyle w:val="Hyperlink"/>
                </w:rPr>
                <w:t xml:space="preserve">National Healthcare Agreement: PB b–Better health: halve the mortality gap for Indigenous children under five by 2018, 2018</w:t>
              </w:r>
            </w:hyperlink>
          </w:p>
          <w:p>
            <w:pPr>
              <w:pStyle w:val="registration-status"/>
              <w:spacing w:before="0" w:after="0"/>
            </w:pPr>
            <w:hyperlink w:history="true" r:id="R967f33e0d83f472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c56e7bbf37c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fee8e4300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56e7bbf37c4f78" /><Relationship Type="http://schemas.openxmlformats.org/officeDocument/2006/relationships/header" Target="/word/header1.xml" Id="Ra2b1eae0b0784e16" /><Relationship Type="http://schemas.openxmlformats.org/officeDocument/2006/relationships/settings" Target="/word/settings.xml" Id="R260e41b2bd494e11" /><Relationship Type="http://schemas.openxmlformats.org/officeDocument/2006/relationships/styles" Target="/word/styles.xml" Id="R0c4b380b0aba4086" /><Relationship Type="http://schemas.openxmlformats.org/officeDocument/2006/relationships/numbering" Target="/word/numbering.xml" Id="Rd1c6d75507d74b5b" /><Relationship Type="http://schemas.openxmlformats.org/officeDocument/2006/relationships/image" Target="/media/image.jpg" Id="R9db21a1a65ba441a" /><Relationship Type="http://schemas.openxmlformats.org/officeDocument/2006/relationships/hyperlink" Target="https://meteor-uat.aihw.gov.au/RegistrationAuthority/9" TargetMode="External" Id="R920f094044664abc" /><Relationship Type="http://schemas.openxmlformats.org/officeDocument/2006/relationships/hyperlink" Target="https://meteor-uat.aihw.gov.au/content/697092" TargetMode="External" Id="Rb6502f9c6ab6429b" /><Relationship Type="http://schemas.openxmlformats.org/officeDocument/2006/relationships/hyperlink" Target="https://meteor-uat.aihw.gov.au/RegistrationAuthority/9" TargetMode="External" Id="R59ea17ad6b364afc" /><Relationship Type="http://schemas.openxmlformats.org/officeDocument/2006/relationships/hyperlink" Target="https://meteor-uat.aihw.gov.au/content/396163" TargetMode="External" Id="R8f2d668d717c4545" /><Relationship Type="http://schemas.openxmlformats.org/officeDocument/2006/relationships/hyperlink" Target="https://meteor-uat.aihw.gov.au/RegistrationAuthority/9" TargetMode="External" Id="Rf12bdfd6a2284fd9" /><Relationship Type="http://schemas.openxmlformats.org/officeDocument/2006/relationships/hyperlink" Target="https://meteor-uat.aihw.gov.au/content/711069" TargetMode="External" Id="Rd77a666bb0bc4420" /><Relationship Type="http://schemas.openxmlformats.org/officeDocument/2006/relationships/hyperlink" Target="https://meteor-uat.aihw.gov.au/RegistrationAuthority/9" TargetMode="External" Id="Rd40b992dc66f4fcd" /><Relationship Type="http://schemas.openxmlformats.org/officeDocument/2006/relationships/hyperlink" Target="https://meteor-uat.aihw.gov.au/content/394481" TargetMode="External" Id="Ra080a301e8f24aa9" /><Relationship Type="http://schemas.openxmlformats.org/officeDocument/2006/relationships/hyperlink" Target="https://meteor-uat.aihw.gov.au/content/394490" TargetMode="External" Id="R6bee2210f9734395" /><Relationship Type="http://schemas.openxmlformats.org/officeDocument/2006/relationships/hyperlink" Target="https://meteor-uat.aihw.gov.au/content/394490" TargetMode="External" Id="R5b60e933174840b0" /><Relationship Type="http://schemas.openxmlformats.org/officeDocument/2006/relationships/hyperlink" Target="https://meteor-uat.aihw.gov.au/content/394490" TargetMode="External" Id="Rb6bc7986edb64e54" /><Relationship Type="http://schemas.openxmlformats.org/officeDocument/2006/relationships/hyperlink" Target="https://meteor-uat.aihw.gov.au/content/394490" TargetMode="External" Id="R7bd014b1edc04ec4" /><Relationship Type="http://schemas.openxmlformats.org/officeDocument/2006/relationships/hyperlink" Target="https://meteor-uat.aihw.gov.au/content/394483" TargetMode="External" Id="R36bb6aff8a68491e" /><Relationship Type="http://schemas.openxmlformats.org/officeDocument/2006/relationships/hyperlink" Target="https://meteor-uat.aihw.gov.au/content/585823" TargetMode="External" Id="Re7c39a31c0664ad9" /><Relationship Type="http://schemas.openxmlformats.org/officeDocument/2006/relationships/hyperlink" Target="https://meteor-uat.aihw.gov.au/content/585823" TargetMode="External" Id="R3e8579c518af4fb0" /><Relationship Type="http://schemas.openxmlformats.org/officeDocument/2006/relationships/hyperlink" Target="https://meteor-uat.aihw.gov.au/content/585844" TargetMode="External" Id="Re0bcb938d6ff4752" /><Relationship Type="http://schemas.openxmlformats.org/officeDocument/2006/relationships/hyperlink" Target="https://meteor-uat.aihw.gov.au/content/585844" TargetMode="External" Id="R005ba628bcbb4faf" /><Relationship Type="http://schemas.openxmlformats.org/officeDocument/2006/relationships/hyperlink" Target="https://meteor-uat.aihw.gov.au/content/394481" TargetMode="External" Id="R1c7107ff39514efd" /><Relationship Type="http://schemas.openxmlformats.org/officeDocument/2006/relationships/hyperlink" Target="https://meteor-uat.aihw.gov.au/content/394481" TargetMode="External" Id="Ref290c1c30b44160" /><Relationship Type="http://schemas.openxmlformats.org/officeDocument/2006/relationships/hyperlink" Target="https://meteor-uat.aihw.gov.au/content/394490" TargetMode="External" Id="R6a646d021a8040fe" /><Relationship Type="http://schemas.openxmlformats.org/officeDocument/2006/relationships/hyperlink" Target="https://meteor-uat.aihw.gov.au/content/394490" TargetMode="External" Id="R4f685d42858e44b9" /><Relationship Type="http://schemas.openxmlformats.org/officeDocument/2006/relationships/hyperlink" Target="https://meteor-uat.aihw.gov.au/content/394490" TargetMode="External" Id="Rb00f77c91e884d96" /><Relationship Type="http://schemas.openxmlformats.org/officeDocument/2006/relationships/hyperlink" Target="https://meteor-uat.aihw.gov.au/content/396455" TargetMode="External" Id="R1940330d7a2e4147" /><Relationship Type="http://schemas.openxmlformats.org/officeDocument/2006/relationships/hyperlink" Target="https://meteor-uat.aihw.gov.au/content/396455" TargetMode="External" Id="R66f09b3523d74776" /><Relationship Type="http://schemas.openxmlformats.org/officeDocument/2006/relationships/hyperlink" Target="https://meteor-uat.aihw.gov.au/content/396455" TargetMode="External" Id="R924bfb3c5b46429b" /><Relationship Type="http://schemas.openxmlformats.org/officeDocument/2006/relationships/hyperlink" Target="https://meteor-uat.aihw.gov.au/content/410671" TargetMode="External" Id="Rafd85b0e4fb943bc" /><Relationship Type="http://schemas.openxmlformats.org/officeDocument/2006/relationships/hyperlink" Target="https://meteor-uat.aihw.gov.au/content/394483" TargetMode="External" Id="R08c654f0804c4822" /><Relationship Type="http://schemas.openxmlformats.org/officeDocument/2006/relationships/hyperlink" Target="https://meteor-uat.aihw.gov.au/content/394481" TargetMode="External" Id="R0135dd189bcf47d8" /><Relationship Type="http://schemas.openxmlformats.org/officeDocument/2006/relationships/hyperlink" Target="https://meteor-uat.aihw.gov.au/content/585823" TargetMode="External" Id="Rdcfec74d37604749" /><Relationship Type="http://schemas.openxmlformats.org/officeDocument/2006/relationships/hyperlink" Target="https://meteor-uat.aihw.gov.au/content/394490" TargetMode="External" Id="Ree687c1ee5d84b50" /><Relationship Type="http://schemas.openxmlformats.org/officeDocument/2006/relationships/hyperlink" Target="https://meteor-uat.aihw.gov.au/content/449206" TargetMode="External" Id="R928c7006c4594b48" /><Relationship Type="http://schemas.openxmlformats.org/officeDocument/2006/relationships/hyperlink" Target="https://meteor-uat.aihw.gov.au/content/585844" TargetMode="External" Id="R73bdd2611c7a4834" /><Relationship Type="http://schemas.openxmlformats.org/officeDocument/2006/relationships/hyperlink" Target="https://meteor-uat.aihw.gov.au/content/396455" TargetMode="External" Id="Rb28cc2b269764ae1" /><Relationship Type="http://schemas.openxmlformats.org/officeDocument/2006/relationships/hyperlink" Target="https://meteor-uat.aihw.gov.au/content/410271" TargetMode="External" Id="Rf67da21c35a14e7e" /><Relationship Type="http://schemas.openxmlformats.org/officeDocument/2006/relationships/hyperlink" Target="https://meteor-uat.aihw.gov.au/content/668676" TargetMode="External" Id="Rfef49286fad54456" /><Relationship Type="http://schemas.openxmlformats.org/officeDocument/2006/relationships/hyperlink" Target="https://meteor-uat.aihw.gov.au/RegistrationAuthority/9" TargetMode="External" Id="Ra20ecc7ace9842d1" /><Relationship Type="http://schemas.openxmlformats.org/officeDocument/2006/relationships/hyperlink" Target="https://meteor-uat.aihw.gov.au/content/718482" TargetMode="External" Id="R3d73d3f110b24572" /><Relationship Type="http://schemas.openxmlformats.org/officeDocument/2006/relationships/hyperlink" Target="https://meteor-uat.aihw.gov.au/RegistrationAuthority/9" TargetMode="External" Id="R4a641e34477b44d0" /><Relationship Type="http://schemas.openxmlformats.org/officeDocument/2006/relationships/hyperlink" Target="https://meteor-uat.aihw.gov.au/content/658546" TargetMode="External" Id="R079d81a3b3414b35" /><Relationship Type="http://schemas.openxmlformats.org/officeDocument/2006/relationships/hyperlink" Target="https://meteor-uat.aihw.gov.au/RegistrationAuthority/14" TargetMode="External" Id="R967f33e0d83f472e" /></Relationships>
</file>

<file path=word/_rels/header1.xml.rels>&#65279;<?xml version="1.0" encoding="utf-8"?><Relationships xmlns="http://schemas.openxmlformats.org/package/2006/relationships"><Relationship Type="http://schemas.openxmlformats.org/officeDocument/2006/relationships/image" Target="/media/image.png" Id="Rf20fee8e43004e28" /></Relationships>
</file>