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b8507fcb484a56" /></Relationships>
</file>

<file path=word/document.xml><?xml version="1.0" encoding="utf-8"?>
<w:document xmlns:r="http://schemas.openxmlformats.org/officeDocument/2006/relationships" xmlns:w="http://schemas.openxmlformats.org/wordprocessingml/2006/main">
  <w:body>
    <w:p>
      <w:pPr>
        <w:pStyle w:val="Title"/>
      </w:pPr>
      <w:r>
        <w:t>Person—proficiency in spoken English,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Person—proficiency in spoken English,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Proficiency in spoken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07f6d528b458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194e4292854a15">
              <w:r>
                <w:rPr>
                  <w:rStyle w:val="Hyperlink"/>
                </w:rPr>
                <w:t xml:space="preserve">Person—proficiency in spoken English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58b4c8bfde4dfe">
              <w:r>
                <w:rPr>
                  <w:rStyle w:val="Hyperlink"/>
                </w:rPr>
                <w:t xml:space="preserve">Proficiency in spoken English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Not applicable</w:t>
            </w:r>
          </w:p>
          <w:p>
            <w:pPr>
              <w:spacing w:after="160"/>
            </w:pPr>
            <w:r>
              <w:rPr>
                <w:rStyle w:val="row-content-rich-text"/>
              </w:rPr>
              <w:t xml:space="preserve">This code is used for respondents who do not speak a language other than English for their first language spoken and/or do not speak a language other than English at home.</w:t>
            </w:r>
          </w:p>
          <w:p>
            <w:pPr>
              <w:spacing w:after="160"/>
            </w:pPr>
            <w:r>
              <w:rPr>
                <w:rStyle w:val="row-content-rich-text"/>
              </w:rPr>
              <w:t xml:space="preserve">CODE 9     Not stated/inadequately described</w:t>
            </w:r>
          </w:p>
          <w:p>
            <w:pPr/>
            <w:r>
              <w:rPr>
                <w:rStyle w:val="row-content-rich-text"/>
              </w:rPr>
              <w:t xml:space="preserve">This code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question on proficiency in spoken English is asked of respondents whose first language spoken is a language other than English, or those who speak a language other than English at home.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Standards for statistics on cultural and language diversity 1999. ABS cat. no. 1289.0. Canberra: ABS.Viewed 27 October 2017, </w:t>
            </w:r>
            <w:hyperlink w:history="true" r:id="R7fef6007d9af4a12">
              <w:r>
                <w:rPr>
                  <w:rStyle w:val="Hyperlink"/>
                </w:rPr>
                <w:t xml:space="preserve">http://www.abs.gov.au/Ausstats/abs@.nsf/mf/1289.0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2016. Language standards, 2016. ABS cat. no. 1200.0.55.005. Canberra: ABS. Viewed 27 October 2017, </w:t>
            </w:r>
            <w:hyperlink w:history="true" r:id="R7615ba8a10104ffa">
              <w:r>
                <w:rPr>
                  <w:rStyle w:val="Hyperlink"/>
                </w:rPr>
                <w:t xml:space="preserve">http://www.abs.gov.au/ausstats/abs@.nsf/mf/1200.0.55.005</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only intended to be collected for people whose first language spoken is a language other than English, or who speak a language other than English at home.</w:t>
            </w:r>
          </w:p>
          <w:p>
            <w:pPr>
              <w:spacing w:after="160"/>
            </w:pPr>
            <w:r>
              <w:rPr>
                <w:rStyle w:val="row-content-rich-text"/>
              </w:rPr>
              <w:t xml:space="preserve">There are 2 standard question modules for collecting proficiency in spoken English: self-enumerated surveys and surveys conducted by interview.</w:t>
            </w:r>
          </w:p>
          <w:p>
            <w:pPr>
              <w:spacing w:after="160"/>
            </w:pPr>
            <w:r>
              <w:rPr>
                <w:rStyle w:val="row-content-rich-text"/>
              </w:rPr>
              <w:t xml:space="preserve">Self-enumerated survey:</w:t>
            </w:r>
          </w:p>
          <w:p>
            <w:pPr>
              <w:spacing w:after="160"/>
            </w:pPr>
            <w:r>
              <w:rPr>
                <w:rStyle w:val="row-content-rich-text"/>
              </w:rPr>
              <w:t xml:space="preserve">Question: How well [do you] [does the person] speak English?</w:t>
            </w:r>
          </w:p>
          <w:p>
            <w:pPr>
              <w:pStyle w:val="ListParagraph"/>
              <w:numPr>
                <w:ilvl w:val="0"/>
                <w:numId w:val="2"/>
              </w:numPr>
            </w:pPr>
            <w:r>
              <w:rPr>
                <w:rStyle w:val="row-content-rich-text"/>
              </w:rPr>
              <w:t xml:space="preserve">Very well</w:t>
            </w:r>
            <w:r>
              <w:br/>
            </w:r>
            <w:r>
              <w:rPr>
                <w:rStyle w:val="row-content-rich-text"/>
              </w:rPr>
              <w:t xml:space="preserve">☐</w:t>
            </w:r>
          </w:p>
          <w:p>
            <w:pPr>
              <w:pStyle w:val="ListParagraph"/>
              <w:numPr>
                <w:ilvl w:val="0"/>
                <w:numId w:val="2"/>
              </w:numPr>
            </w:pPr>
            <w:r>
              <w:rPr>
                <w:rStyle w:val="row-content-rich-text"/>
              </w:rPr>
              <w:t xml:space="preserve">Well</w:t>
            </w:r>
            <w:r>
              <w:br/>
            </w:r>
            <w:r>
              <w:rPr>
                <w:rStyle w:val="row-content-rich-text"/>
              </w:rPr>
              <w:t xml:space="preserve">☐</w:t>
            </w:r>
          </w:p>
          <w:p>
            <w:pPr>
              <w:pStyle w:val="ListParagraph"/>
              <w:numPr>
                <w:ilvl w:val="0"/>
                <w:numId w:val="2"/>
              </w:numPr>
            </w:pPr>
            <w:r>
              <w:rPr>
                <w:rStyle w:val="row-content-rich-text"/>
              </w:rPr>
              <w:t xml:space="preserve">Not well</w:t>
            </w:r>
            <w:r>
              <w:br/>
            </w:r>
            <w:r>
              <w:rPr>
                <w:rStyle w:val="row-content-rich-text"/>
              </w:rPr>
              <w:t xml:space="preserve">☐</w:t>
            </w:r>
          </w:p>
          <w:p>
            <w:pPr>
              <w:pStyle w:val="ListParagraph"/>
              <w:numPr>
                <w:ilvl w:val="0"/>
                <w:numId w:val="2"/>
              </w:numPr>
            </w:pPr>
            <w:r>
              <w:rPr>
                <w:rStyle w:val="row-content-rich-text"/>
              </w:rPr>
              <w:t xml:space="preserve">Not at all</w:t>
            </w:r>
            <w:r>
              <w:br/>
            </w:r>
            <w:r>
              <w:rPr>
                <w:rStyle w:val="row-content-rich-text"/>
              </w:rPr>
              <w:t xml:space="preserve">☐</w:t>
            </w:r>
          </w:p>
          <w:p>
            <w:pPr>
              <w:spacing w:after="160"/>
            </w:pPr>
            <w:r>
              <w:rPr>
                <w:rStyle w:val="row-content-rich-text"/>
              </w:rPr>
              <w:t xml:space="preserve">Interview-based survey:</w:t>
            </w:r>
          </w:p>
          <w:p>
            <w:pPr>
              <w:spacing w:after="160"/>
            </w:pPr>
            <w:r>
              <w:rPr>
                <w:rStyle w:val="row-content-rich-text"/>
              </w:rPr>
              <w:t xml:space="preserve">Question: Do you consider [you speak] [(name)] speaks] English very well, well, not well or not at all?</w:t>
            </w:r>
          </w:p>
          <w:p>
            <w:pPr>
              <w:pStyle w:val="ListParagraph"/>
              <w:numPr>
                <w:ilvl w:val="0"/>
                <w:numId w:val="3"/>
              </w:numPr>
            </w:pPr>
            <w:r>
              <w:rPr>
                <w:rStyle w:val="row-content-rich-text"/>
              </w:rPr>
              <w:t xml:space="preserve">Very well</w:t>
            </w:r>
            <w:r>
              <w:br/>
            </w:r>
            <w:r>
              <w:rPr>
                <w:rStyle w:val="row-content-rich-text"/>
              </w:rPr>
              <w:t xml:space="preserve">☐</w:t>
            </w:r>
          </w:p>
          <w:p>
            <w:pPr>
              <w:pStyle w:val="ListParagraph"/>
              <w:numPr>
                <w:ilvl w:val="0"/>
                <w:numId w:val="3"/>
              </w:numPr>
            </w:pPr>
            <w:r>
              <w:rPr>
                <w:rStyle w:val="row-content-rich-text"/>
              </w:rPr>
              <w:t xml:space="preserve">Well</w:t>
            </w:r>
            <w:r>
              <w:br/>
            </w:r>
            <w:r>
              <w:rPr>
                <w:rStyle w:val="row-content-rich-text"/>
              </w:rPr>
              <w:t xml:space="preserve">☐</w:t>
            </w:r>
          </w:p>
          <w:p>
            <w:pPr>
              <w:pStyle w:val="ListParagraph"/>
              <w:numPr>
                <w:ilvl w:val="0"/>
                <w:numId w:val="3"/>
              </w:numPr>
            </w:pPr>
            <w:r>
              <w:rPr>
                <w:rStyle w:val="row-content-rich-text"/>
              </w:rPr>
              <w:t xml:space="preserve">Not well</w:t>
            </w:r>
            <w:r>
              <w:br/>
            </w:r>
            <w:r>
              <w:rPr>
                <w:rStyle w:val="row-content-rich-text"/>
              </w:rPr>
              <w:t xml:space="preserve">☐</w:t>
            </w:r>
          </w:p>
          <w:p>
            <w:pPr>
              <w:pStyle w:val="ListParagraph"/>
              <w:numPr>
                <w:ilvl w:val="0"/>
                <w:numId w:val="3"/>
              </w:numPr>
            </w:pPr>
            <w:r>
              <w:rPr>
                <w:rStyle w:val="row-content-rich-text"/>
              </w:rPr>
              <w:t xml:space="preserve">Not at all</w:t>
            </w:r>
            <w:r>
              <w:br/>
            </w:r>
            <w:r>
              <w:rPr>
                <w:rStyle w:val="row-content-rich-text"/>
              </w:rPr>
              <w:t xml:space="preserve">☐</w:t>
            </w:r>
          </w:p>
          <w:p>
            <w:pPr>
              <w:spacing w:after="160"/>
            </w:pPr>
            <w:r>
              <w:rPr>
                <w:rStyle w:val="row-content-rich-text"/>
              </w:rPr>
              <w:t xml:space="preserve">Generally this would be a self-reported question, but in some circumstances (particularly where a person does not speak English well) assistance may be required in answering this question. It is important that the person's self-assessed proficiency in spoken English be recorded wherever possible.</w:t>
            </w:r>
          </w:p>
          <w:p>
            <w:pPr>
              <w:spacing w:after="160"/>
            </w:pPr>
            <w:r>
              <w:rPr>
                <w:rStyle w:val="row-content-rich-text"/>
              </w:rPr>
              <w:t xml:space="preserve">The standard question modules for proficiency in spoken English should be asked after a language question which identifies people who speak a language other than English. This can be done using the following variables:</w:t>
            </w:r>
          </w:p>
          <w:p>
            <w:pPr>
              <w:pStyle w:val="ListParagraph"/>
              <w:numPr>
                <w:ilvl w:val="0"/>
                <w:numId w:val="4"/>
              </w:numPr>
            </w:pPr>
            <w:r>
              <w:rPr>
                <w:rStyle w:val="row-content-rich-text"/>
              </w:rPr>
              <w:t xml:space="preserve">First language spoken</w:t>
            </w:r>
          </w:p>
          <w:p>
            <w:pPr>
              <w:pStyle w:val="ListParagraph"/>
              <w:numPr>
                <w:ilvl w:val="0"/>
                <w:numId w:val="4"/>
              </w:numPr>
            </w:pPr>
            <w:r>
              <w:rPr>
                <w:rStyle w:val="row-content-rich-text"/>
              </w:rPr>
              <w:t xml:space="preserve">Languages spoken at home</w:t>
            </w:r>
          </w:p>
          <w:p>
            <w:pPr>
              <w:pStyle w:val="ListParagraph"/>
              <w:numPr>
                <w:ilvl w:val="0"/>
                <w:numId w:val="4"/>
              </w:numPr>
            </w:pPr>
            <w:r>
              <w:rPr>
                <w:rStyle w:val="row-content-rich-text"/>
              </w:rPr>
              <w:t xml:space="preserve">Main language other than English spoken at home</w:t>
            </w:r>
          </w:p>
          <w:p>
            <w:pPr>
              <w:pStyle w:val="ListParagraph"/>
              <w:numPr>
                <w:ilvl w:val="0"/>
                <w:numId w:val="4"/>
              </w:numPr>
            </w:pPr>
            <w:r>
              <w:rPr>
                <w:rStyle w:val="row-content-rich-text"/>
              </w:rPr>
              <w:t xml:space="preserve">Main language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people living in Australia a lack of proficiency in spoken English may impact a person's access to employment, education and other government and non-government services. This data element is used primarily to identify people who may experience disadvantage as a result of a lack of competence in spoken English. This information can be used to assess, measure and monitor service needs.</w:t>
            </w:r>
          </w:p>
          <w:p>
            <w:pPr/>
            <w:r>
              <w:rPr>
                <w:rStyle w:val="row-content-rich-text"/>
              </w:rPr>
              <w:t xml:space="preserve">In conjunction with the data elements </w:t>
            </w:r>
            <w:hyperlink w:history="true" r:id="Rf49afce31dd6493d">
              <w:r>
                <w:rPr>
                  <w:rStyle w:val="Hyperlink"/>
                </w:rPr>
                <w:t xml:space="preserve">Person—Indigenous status, code N</w:t>
              </w:r>
            </w:hyperlink>
            <w:r>
              <w:rPr>
                <w:rStyle w:val="row-content-rich-text"/>
              </w:rPr>
              <w:t xml:space="preserve">, </w:t>
            </w:r>
            <w:hyperlink w:history="true" r:id="R7b258a9d2a9a49cf">
              <w:r>
                <w:rPr>
                  <w:rStyle w:val="Hyperlink"/>
                </w:rPr>
                <w:t xml:space="preserve">Person—main language other than English spoken at home, code (ASCL 2016) N[NNN]</w:t>
              </w:r>
            </w:hyperlink>
            <w:r>
              <w:rPr>
                <w:rStyle w:val="row-content-rich-text"/>
              </w:rPr>
              <w:t xml:space="preserve"> and </w:t>
            </w:r>
            <w:hyperlink w:history="true" r:id="Re1cd0d9657a949eb">
              <w:r>
                <w:rPr>
                  <w:rStyle w:val="Hyperlink"/>
                </w:rPr>
                <w:t xml:space="preserve">Person—country of birth, code (SACC 2016) NNNN</w:t>
              </w:r>
            </w:hyperlink>
            <w:r>
              <w:rPr>
                <w:rStyle w:val="row-content-rich-text"/>
              </w:rPr>
              <w:t xml:space="preserve">; this data element forms the minimum core set of cultural and language variables recommended by the Australian Bureau of Statistics for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Standards for statistics on cultural and language diversity 1999. ABS cat. no. 1289.0. Canberra: ABS. Viewed 27 October 2017, </w:t>
            </w:r>
            <w:hyperlink w:history="true" r:id="R7c2b70d0be354961">
              <w:r>
                <w:rPr>
                  <w:rStyle w:val="Hyperlink"/>
                </w:rPr>
                <w:t xml:space="preserve">http://www.abs.gov.au/Ausstats/abs@.nsf/mf/1289.0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2016. Language standards, 2016. ABS cat. no. 1200.0.55.005. Canberra: ABS. Viewed 27 October 2017, </w:t>
            </w:r>
            <w:hyperlink w:history="true" r:id="Rada2ff0c7ec3496f">
              <w:r>
                <w:rPr>
                  <w:rStyle w:val="Hyperlink"/>
                </w:rPr>
                <w:t xml:space="preserve">http://www.abs.gov.au/ausstats/abs@.nsf/mf/1200.0.55.005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df04ed1ff24d42">
              <w:r>
                <w:rPr>
                  <w:rStyle w:val="Hyperlink"/>
                </w:rPr>
                <w:t xml:space="preserve">Person—proficiency in spoken English, code N</w:t>
              </w:r>
            </w:hyperlink>
          </w:p>
          <w:p>
            <w:pPr>
              <w:pStyle w:val="registration-status"/>
              <w:spacing w:before="0" w:after="0"/>
            </w:pPr>
            <w:hyperlink w:history="true" r:id="R9c250c0eb1e840e1">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db625c5597b9413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646167df8bb422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775732ebb454d26">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d7a1daeb635d404d">
              <w:r>
                <w:rPr>
                  <w:rStyle w:val="Hyperlink"/>
                </w:rPr>
                <w:t xml:space="preserve">Person—country of birth, code (SACC 2016) NNNN</w:t>
              </w:r>
            </w:hyperlink>
          </w:p>
          <w:p>
            <w:pPr>
              <w:pStyle w:val="registration-status"/>
              <w:spacing w:before="0" w:after="0"/>
            </w:pPr>
            <w:hyperlink w:history="true" r:id="Rb775b2308df3433f">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2f252d3b37ab4921">
              <w:r>
                <w:rPr>
                  <w:rStyle w:val="Hyperlink"/>
                  <w:color w:val="244061"/>
                </w:rPr>
                <w:t xml:space="preserve">Disability</w:t>
              </w:r>
            </w:hyperlink>
            <w:r>
              <w:rPr>
                <w:rStyle w:val="row-content"/>
                <w:color w:val="244061"/>
              </w:rPr>
              <w:t xml:space="preserve">, Standard 15/12/2017</w:t>
            </w:r>
          </w:p>
          <w:p>
            <w:pPr>
              <w:pStyle w:val="registration-status"/>
              <w:spacing w:before="0" w:after="0"/>
            </w:pPr>
            <w:hyperlink w:history="true" r:id="R306c60e23f0b47f6">
              <w:r>
                <w:rPr>
                  <w:rStyle w:val="Hyperlink"/>
                  <w:color w:val="244061"/>
                </w:rPr>
                <w:t xml:space="preserve">Health!</w:t>
              </w:r>
            </w:hyperlink>
            <w:r>
              <w:rPr>
                <w:rStyle w:val="row-content"/>
                <w:color w:val="244061"/>
              </w:rPr>
              <w:t xml:space="preserve">, Standard 06/12/2016</w:t>
            </w:r>
          </w:p>
          <w:p>
            <w:pPr>
              <w:pStyle w:val="registration-status"/>
              <w:spacing w:before="0" w:after="0"/>
            </w:pPr>
            <w:hyperlink w:history="true" r:id="Rfdaa12045ee44e0d">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caa044c1363847fe">
              <w:r>
                <w:rPr>
                  <w:rStyle w:val="Hyperlink"/>
                  <w:color w:val="244061"/>
                </w:rPr>
                <w:t xml:space="preserve">Tasmanian Health</w:t>
              </w:r>
            </w:hyperlink>
            <w:r>
              <w:rPr>
                <w:rStyle w:val="row-content"/>
                <w:color w:val="244061"/>
              </w:rPr>
              <w:t xml:space="preserve">, Standard 27/06/2017</w:t>
            </w:r>
          </w:p>
          <w:p>
            <w:pPr>
              <w:pStyle w:val="registration-status"/>
              <w:spacing w:before="0" w:after="0"/>
            </w:pPr>
            <w:hyperlink w:history="true" r:id="R3e85ae6c56b347b8">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3f9b6a27b9784f8f">
              <w:r>
                <w:rPr>
                  <w:rStyle w:val="Hyperlink"/>
                </w:rPr>
                <w:t xml:space="preserve">Person—first language spoken, code (ASCL 2011) NN{NN}</w:t>
              </w:r>
            </w:hyperlink>
          </w:p>
          <w:p>
            <w:pPr>
              <w:pStyle w:val="registration-status"/>
              <w:spacing w:before="0" w:after="0"/>
            </w:pPr>
            <w:hyperlink w:history="true" r:id="Ra169acada840459f">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7a1619371468462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a44674ab4ca4fac">
              <w:r>
                <w:rPr>
                  <w:rStyle w:val="Hyperlink"/>
                  <w:color w:val="244061"/>
                </w:rPr>
                <w:t xml:space="preserve">Health!</w:t>
              </w:r>
            </w:hyperlink>
            <w:r>
              <w:rPr>
                <w:rStyle w:val="row-content"/>
                <w:color w:val="244061"/>
              </w:rPr>
              <w:t xml:space="preserve">, Standard 13/10/2011</w:t>
            </w:r>
          </w:p>
          <w:p>
            <w:pPr>
              <w:pStyle w:val="registration-status"/>
              <w:spacing w:before="0" w:after="0"/>
            </w:pPr>
            <w:hyperlink w:history="true" r:id="R8bb8a924ceb147f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cfe31f643c343af">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a8c8eda9e8d5406f">
              <w:r>
                <w:rPr>
                  <w:rStyle w:val="Hyperlink"/>
                </w:rPr>
                <w:t xml:space="preserve">Person—main language other than English spoken at home, code (ASCL 2016) N[NNN]</w:t>
              </w:r>
            </w:hyperlink>
          </w:p>
          <w:p>
            <w:pPr>
              <w:pStyle w:val="registration-status"/>
              <w:spacing w:before="0" w:after="0"/>
            </w:pPr>
            <w:hyperlink w:history="true" r:id="R2f5d9ba39b144d70">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db280e191e75459b">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5dc5b0eeab024f3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e05b58c4e94438">
              <w:r>
                <w:rPr>
                  <w:rStyle w:val="Hyperlink"/>
                </w:rPr>
                <w:t xml:space="preserve">Specialist Homelessness Services NMDS 2019-</w:t>
              </w:r>
            </w:hyperlink>
          </w:p>
          <w:p>
            <w:pPr>
              <w:pStyle w:val="registration-status"/>
              <w:spacing w:before="0" w:after="0"/>
            </w:pPr>
            <w:hyperlink w:history="true" r:id="R6049561df3314a9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conditional on the client speaking a language other than English at home. The data element </w:t>
            </w:r>
            <w:hyperlink w:history="true" r:id="R27b583bcef564358">
              <w:r>
                <w:rPr>
                  <w:rStyle w:val="Hyperlink"/>
                </w:rPr>
                <w:t xml:space="preserve">Person—main language other than English spoken at home, code (ASCL 2016) N[NNN]</w:t>
              </w:r>
            </w:hyperlink>
            <w:r>
              <w:rPr>
                <w:rStyle w:val="row-content"/>
              </w:rPr>
              <w:t xml:space="preserve"> must receive a response of Yes, other - please specify for this data to be collected. This data element is also only collected for clients aged 5 years and over.</w:t>
            </w:r>
          </w:p>
          <w:p>
            <w:r>
              <w:rPr>
                <w:rStyle w:val="row-content"/>
              </w:rPr>
              <w:t xml:space="preserve">For clients who respond to the data element </w:t>
            </w:r>
            <w:hyperlink w:history="true" r:id="R7152d15031ca4881">
              <w:r>
                <w:rPr>
                  <w:rStyle w:val="Hyperlink"/>
                </w:rPr>
                <w:t xml:space="preserve">Person—main language other than English spoken at home, code (ASCL 2016) N[NNN]</w:t>
              </w:r>
            </w:hyperlink>
            <w:r>
              <w:rPr>
                <w:rStyle w:val="row-content"/>
              </w:rPr>
              <w:t xml:space="preserve"> No, English only and for clients aged less than 5 a Not applicable response is recorded.</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rPr>
                <w:rStyle w:val="row-content"/>
              </w:rPr>
              <w:t xml:space="preserve">This collection records a response of Not applicable (Code 0) which is equivalent to the code Not applicable (Code 7) in the Standard.</w:t>
            </w:r>
          </w:p>
          <w:p>
            <w:r>
              <w:br/>
            </w:r>
            <w:r>
              <w:br/>
            </w:r>
          </w:p>
        </w:tc>
      </w:tr>
    </w:tbl>
    <w:p/>
    <w:tbl>
      <w:tblPr>
        <w:tblStyle w:val="TableGrid"/>
        <w:tblW w:w="0" w:type="auto"/>
      </w:tblPr>
    </w:tbl>
    <w:p>
      <w:r>
        <w:br/>
      </w:r>
    </w:p>
    <w:sectPr>
      <w:footerReference xmlns:r="http://schemas.openxmlformats.org/officeDocument/2006/relationships" w:type="default" r:id="Rcb6fce38ad54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23491f451f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fce38ad544bce" /><Relationship Type="http://schemas.openxmlformats.org/officeDocument/2006/relationships/header" Target="/word/header1.xml" Id="Rbced77b89daf4e84" /><Relationship Type="http://schemas.openxmlformats.org/officeDocument/2006/relationships/settings" Target="/word/settings.xml" Id="R3296bb4adc8849fc" /><Relationship Type="http://schemas.openxmlformats.org/officeDocument/2006/relationships/styles" Target="/word/styles.xml" Id="Re5d9a910bf6e468e" /><Relationship Type="http://schemas.openxmlformats.org/officeDocument/2006/relationships/numbering" Target="/word/numbering.xml" Id="R791714952f41432d" /><Relationship Type="http://schemas.openxmlformats.org/officeDocument/2006/relationships/hyperlink" Target="https://meteor-uat.aihw.gov.au/RegistrationAuthority/16" TargetMode="External" Id="R18107f6d528b4585" /><Relationship Type="http://schemas.openxmlformats.org/officeDocument/2006/relationships/hyperlink" Target="https://meteor-uat.aihw.gov.au/content/269667" TargetMode="External" Id="Rf5194e4292854a15" /><Relationship Type="http://schemas.openxmlformats.org/officeDocument/2006/relationships/hyperlink" Target="https://meteor-uat.aihw.gov.au/content/695979" TargetMode="External" Id="Rd158b4c8bfde4dfe" /><Relationship Type="http://schemas.openxmlformats.org/officeDocument/2006/relationships/hyperlink" Target="http://www.abs.gov.au/Ausstats/abs@.nsf/mf/1289.0" TargetMode="External" Id="R7fef6007d9af4a12" /><Relationship Type="http://schemas.openxmlformats.org/officeDocument/2006/relationships/hyperlink" Target="http://www.abs.gov.au/ausstats/abs@.nsf/mf/1200.0.55.005" TargetMode="External" Id="R7615ba8a10104ffa" /><Relationship Type="http://schemas.openxmlformats.org/officeDocument/2006/relationships/hyperlink" Target="https://meteor-uat.aihw.gov.au/content/602543" TargetMode="External" Id="Rf49afce31dd6493d" /><Relationship Type="http://schemas.openxmlformats.org/officeDocument/2006/relationships/hyperlink" Target="https://meteor-uat.aihw.gov.au/content/659402" TargetMode="External" Id="R7b258a9d2a9a49cf" /><Relationship Type="http://schemas.openxmlformats.org/officeDocument/2006/relationships/hyperlink" Target="https://meteor-uat.aihw.gov.au/content/659454" TargetMode="External" Id="Re1cd0d9657a949eb" /><Relationship Type="http://schemas.openxmlformats.org/officeDocument/2006/relationships/hyperlink" Target="http://www.abs.gov.au/Ausstats/abs@.nsf/mf/1289.0" TargetMode="External" Id="R7c2b70d0be354961" /><Relationship Type="http://schemas.openxmlformats.org/officeDocument/2006/relationships/hyperlink" Target="http://www.abs.gov.au/ausstats/abs@.nsf/mf/1200.0.55.005" TargetMode="External" Id="Rada2ff0c7ec3496f" /><Relationship Type="http://schemas.openxmlformats.org/officeDocument/2006/relationships/hyperlink" Target="https://meteor-uat.aihw.gov.au/content/270203" TargetMode="External" Id="R57df04ed1ff24d42" /><Relationship Type="http://schemas.openxmlformats.org/officeDocument/2006/relationships/hyperlink" Target="https://meteor-uat.aihw.gov.au/RegistrationAuthority/3" TargetMode="External" Id="R9c250c0eb1e840e1" /><Relationship Type="http://schemas.openxmlformats.org/officeDocument/2006/relationships/hyperlink" Target="https://meteor-uat.aihw.gov.au/RegistrationAuthority/18" TargetMode="External" Id="Rdb625c5597b9413e" /><Relationship Type="http://schemas.openxmlformats.org/officeDocument/2006/relationships/hyperlink" Target="https://meteor-uat.aihw.gov.au/RegistrationAuthority/14" TargetMode="External" Id="Rb646167df8bb4221" /><Relationship Type="http://schemas.openxmlformats.org/officeDocument/2006/relationships/hyperlink" Target="https://meteor-uat.aihw.gov.au/RegistrationAuthority/13" TargetMode="External" Id="Rb775732ebb454d26" /><Relationship Type="http://schemas.openxmlformats.org/officeDocument/2006/relationships/hyperlink" Target="https://meteor-uat.aihw.gov.au/content/659454" TargetMode="External" Id="Rd7a1daeb635d404d" /><Relationship Type="http://schemas.openxmlformats.org/officeDocument/2006/relationships/hyperlink" Target="https://meteor-uat.aihw.gov.au/RegistrationAuthority/7" TargetMode="External" Id="Rb775b2308df3433f" /><Relationship Type="http://schemas.openxmlformats.org/officeDocument/2006/relationships/hyperlink" Target="https://meteor-uat.aihw.gov.au/RegistrationAuthority/18" TargetMode="External" Id="R2f252d3b37ab4921" /><Relationship Type="http://schemas.openxmlformats.org/officeDocument/2006/relationships/hyperlink" Target="https://meteor-uat.aihw.gov.au/RegistrationAuthority/14" TargetMode="External" Id="R306c60e23f0b47f6" /><Relationship Type="http://schemas.openxmlformats.org/officeDocument/2006/relationships/hyperlink" Target="https://meteor-uat.aihw.gov.au/RegistrationAuthority/16" TargetMode="External" Id="Rfdaa12045ee44e0d" /><Relationship Type="http://schemas.openxmlformats.org/officeDocument/2006/relationships/hyperlink" Target="https://meteor-uat.aihw.gov.au/RegistrationAuthority/17" TargetMode="External" Id="Rcaa044c1363847fe" /><Relationship Type="http://schemas.openxmlformats.org/officeDocument/2006/relationships/hyperlink" Target="https://meteor-uat.aihw.gov.au/RegistrationAuthority/4" TargetMode="External" Id="R3e85ae6c56b347b8" /><Relationship Type="http://schemas.openxmlformats.org/officeDocument/2006/relationships/hyperlink" Target="https://meteor-uat.aihw.gov.au/content/460120" TargetMode="External" Id="R3f9b6a27b9784f8f" /><Relationship Type="http://schemas.openxmlformats.org/officeDocument/2006/relationships/hyperlink" Target="https://meteor-uat.aihw.gov.au/RegistrationAuthority/3" TargetMode="External" Id="Ra169acada840459f" /><Relationship Type="http://schemas.openxmlformats.org/officeDocument/2006/relationships/hyperlink" Target="https://meteor-uat.aihw.gov.au/RegistrationAuthority/18" TargetMode="External" Id="R7a16193714684624" /><Relationship Type="http://schemas.openxmlformats.org/officeDocument/2006/relationships/hyperlink" Target="https://meteor-uat.aihw.gov.au/RegistrationAuthority/14" TargetMode="External" Id="R7a44674ab4ca4fac" /><Relationship Type="http://schemas.openxmlformats.org/officeDocument/2006/relationships/hyperlink" Target="https://meteor-uat.aihw.gov.au/RegistrationAuthority/16" TargetMode="External" Id="R8bb8a924ceb147f8" /><Relationship Type="http://schemas.openxmlformats.org/officeDocument/2006/relationships/hyperlink" Target="https://meteor-uat.aihw.gov.au/RegistrationAuthority/13" TargetMode="External" Id="Rfcfe31f643c343af" /><Relationship Type="http://schemas.openxmlformats.org/officeDocument/2006/relationships/hyperlink" Target="https://meteor-uat.aihw.gov.au/content/659402" TargetMode="External" Id="Ra8c8eda9e8d5406f" /><Relationship Type="http://schemas.openxmlformats.org/officeDocument/2006/relationships/hyperlink" Target="https://meteor-uat.aihw.gov.au/RegistrationAuthority/1" TargetMode="External" Id="R2f5d9ba39b144d70" /><Relationship Type="http://schemas.openxmlformats.org/officeDocument/2006/relationships/hyperlink" Target="https://meteor-uat.aihw.gov.au/RegistrationAuthority/14" TargetMode="External" Id="Rdb280e191e75459b" /><Relationship Type="http://schemas.openxmlformats.org/officeDocument/2006/relationships/hyperlink" Target="https://meteor-uat.aihw.gov.au/RegistrationAuthority/16" TargetMode="External" Id="R5dc5b0eeab024f3c" /><Relationship Type="http://schemas.openxmlformats.org/officeDocument/2006/relationships/hyperlink" Target="https://meteor-uat.aihw.gov.au/content/689064" TargetMode="External" Id="R62e05b58c4e94438" /><Relationship Type="http://schemas.openxmlformats.org/officeDocument/2006/relationships/hyperlink" Target="https://meteor-uat.aihw.gov.au/RegistrationAuthority/16" TargetMode="External" Id="R6049561df3314a9b" /><Relationship Type="http://schemas.openxmlformats.org/officeDocument/2006/relationships/hyperlink" Target="https://meteor-uat.aihw.gov.au/content/659402" TargetMode="External" Id="R27b583bcef564358" /><Relationship Type="http://schemas.openxmlformats.org/officeDocument/2006/relationships/hyperlink" Target="https://meteor-uat.aihw.gov.au/content/659402" TargetMode="External" Id="R7152d15031ca4881" /></Relationships>
</file>

<file path=word/_rels/header1.xml.rels>&#65279;<?xml version="1.0" encoding="utf-8"?><Relationships xmlns="http://schemas.openxmlformats.org/package/2006/relationships"><Relationship Type="http://schemas.openxmlformats.org/officeDocument/2006/relationships/image" Target="/media/image.png" Id="R2f23491f451f440e" /></Relationships>
</file>