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e9af2604e54a6e" /></Relationships>
</file>

<file path=word/document.xml><?xml version="1.0" encoding="utf-8"?>
<w:document xmlns:r="http://schemas.openxmlformats.org/officeDocument/2006/relationships" xmlns:w="http://schemas.openxmlformats.org/wordprocessingml/2006/main">
  <w:body>
    <w:p>
      <w:pPr>
        <w:pStyle w:val="Title"/>
      </w:pPr>
      <w:r>
        <w:t>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ab7a71116413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induction of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female earlier than this. Such circumstances include advanced maternal age which may elevate the degree of risk (Haavaldsen et al. 2010). Other special circumstances may apply (for example, see Yao et al. 2014; Drysdale et al. 2012).</w:t>
            </w:r>
          </w:p>
          <w:p>
            <w:pPr>
              <w:spacing w:after="160"/>
            </w:pPr>
            <w:r>
              <w:rPr>
                <w:rStyle w:val="row-content-rich-text"/>
              </w:rPr>
              <w:t xml:space="preserve">With appropriate professional judgement, these cases may be recorded under Code 1. Where appropriate, consideration should be given to recording Code 9 (maternal age) or other specific indications as additional indications if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Haemolysis, Elevated Liver enzymes, Low Platelet count (HELLP)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female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Diagnosed maternal mental health disorders and conditions should be recorded as Code 11.</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and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w:t>
            </w:r>
          </w:p>
          <w:p>
            <w:pPr>
              <w:pStyle w:val="ListParagraph"/>
              <w:numPr>
                <w:ilvl w:val="0"/>
                <w:numId w:val="2"/>
              </w:numPr>
            </w:pPr>
            <w:r>
              <w:rPr>
                <w:rStyle w:val="row-content-rich-text"/>
              </w:rPr>
              <w:t xml:space="preserve">to fit with a caregiver's schedule</w:t>
            </w:r>
          </w:p>
          <w:p>
            <w:pPr>
              <w:pStyle w:val="ListParagraph"/>
              <w:numPr>
                <w:ilvl w:val="0"/>
                <w:numId w:val="2"/>
              </w:numPr>
            </w:pPr>
            <w:r>
              <w:rPr>
                <w:rStyle w:val="row-content-rich-text"/>
              </w:rPr>
              <w:t xml:space="preserve">to ensure availability of theatre, anaesthetist or other staffing reasons</w:t>
            </w:r>
          </w:p>
          <w:p>
            <w:pPr>
              <w:pStyle w:val="ListParagraph"/>
              <w:numPr>
                <w:ilvl w:val="0"/>
                <w:numId w:val="2"/>
              </w:numPr>
            </w:pPr>
            <w:r>
              <w:rPr>
                <w:rStyle w:val="row-content-rich-text"/>
              </w:rPr>
              <w:t xml:space="preserve">where a pregnant woman is normally resident in a rural or remote area or an area without adequate birthing facilities and the need for induction is determined by factors such as the available facilities, and the female's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Should be recorded where the female has requested an induction and none of the other permissible values, including Code 89, apply. Should not be recorded in conjunction with additional indications.</w:t>
            </w:r>
          </w:p>
          <w:p>
            <w:pPr>
              <w:spacing w:after="160"/>
            </w:pPr>
            <w:r>
              <w:rPr>
                <w:rStyle w:val="row-content-rich-text"/>
              </w:rPr>
              <w:t xml:space="preserve">It is important to distinguish between a female's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recorded.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Excludes maternal choice, which should be recorded as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8694efebf74063">
              <w:r>
                <w:rPr>
                  <w:rStyle w:val="Hyperlink"/>
                </w:rPr>
                <w:t xml:space="preserve">Indication for induction of labour code N[N]</w:t>
              </w:r>
            </w:hyperlink>
          </w:p>
          <w:p>
            <w:pPr>
              <w:pStyle w:val="registration-status"/>
              <w:spacing w:before="0" w:after="0"/>
            </w:pPr>
            <w:hyperlink w:history="true" r:id="R941cc4acad174695">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d580ad0c2e4144">
              <w:r>
                <w:rPr>
                  <w:rStyle w:val="Hyperlink"/>
                </w:rPr>
                <w:t xml:space="preserve">Birth event—additional indication for induction of labour, code N[N]</w:t>
              </w:r>
            </w:hyperlink>
          </w:p>
          <w:p>
            <w:pPr>
              <w:pStyle w:val="registration-status"/>
              <w:spacing w:before="0" w:after="0"/>
            </w:pPr>
            <w:hyperlink w:history="true" r:id="R829ca0bd58d44a92">
              <w:r>
                <w:rPr>
                  <w:rStyle w:val="Hyperlink"/>
                  <w:color w:val="244061"/>
                </w:rPr>
                <w:t xml:space="preserve">Health!</w:t>
              </w:r>
            </w:hyperlink>
            <w:r>
              <w:rPr>
                <w:rStyle w:val="row-content"/>
                <w:color w:val="244061"/>
              </w:rPr>
              <w:t xml:space="preserve">, Superseded 03/12/2020</w:t>
            </w:r>
          </w:p>
          <w:p>
            <w:r>
              <w:br/>
            </w:r>
            <w:hyperlink w:history="true" r:id="Rce6977ee49cb458e">
              <w:r>
                <w:rPr>
                  <w:rStyle w:val="Hyperlink"/>
                </w:rPr>
                <w:t xml:space="preserve">Birth event—additional indication for induction of labour, code N[N]</w:t>
              </w:r>
            </w:hyperlink>
          </w:p>
          <w:p>
            <w:pPr>
              <w:pStyle w:val="registration-status"/>
              <w:spacing w:before="0" w:after="0"/>
            </w:pPr>
            <w:hyperlink w:history="true" r:id="Rc68dd39976be40d6">
              <w:r>
                <w:rPr>
                  <w:rStyle w:val="Hyperlink"/>
                  <w:color w:val="244061"/>
                </w:rPr>
                <w:t xml:space="preserve">Health!</w:t>
              </w:r>
            </w:hyperlink>
            <w:r>
              <w:rPr>
                <w:rStyle w:val="row-content"/>
                <w:color w:val="244061"/>
              </w:rPr>
              <w:t xml:space="preserve">, Standard 03/12/2020</w:t>
            </w:r>
          </w:p>
          <w:p>
            <w:r>
              <w:br/>
            </w:r>
            <w:hyperlink w:history="true" r:id="Re0805fdaedca4d31">
              <w:r>
                <w:rPr>
                  <w:rStyle w:val="Hyperlink"/>
                </w:rPr>
                <w:t xml:space="preserve">Birth event—main indication for induction of labour, code N[N]</w:t>
              </w:r>
            </w:hyperlink>
          </w:p>
          <w:p>
            <w:pPr>
              <w:pStyle w:val="registration-status"/>
              <w:spacing w:before="0" w:after="0"/>
            </w:pPr>
            <w:hyperlink w:history="true" r:id="R06b3399c859c435d">
              <w:r>
                <w:rPr>
                  <w:rStyle w:val="Hyperlink"/>
                  <w:color w:val="244061"/>
                </w:rPr>
                <w:t xml:space="preserve">Health!</w:t>
              </w:r>
            </w:hyperlink>
            <w:r>
              <w:rPr>
                <w:rStyle w:val="row-content"/>
                <w:color w:val="244061"/>
              </w:rPr>
              <w:t xml:space="preserve">, Standard 03/12/2020</w:t>
            </w:r>
          </w:p>
          <w:p>
            <w:r>
              <w:br/>
            </w:r>
            <w:hyperlink w:history="true" r:id="R844add02ffd54007">
              <w:r>
                <w:rPr>
                  <w:rStyle w:val="Hyperlink"/>
                </w:rPr>
                <w:t xml:space="preserve">Birth event—main indication for induction of labour, code N[N]</w:t>
              </w:r>
            </w:hyperlink>
          </w:p>
          <w:p>
            <w:pPr>
              <w:pStyle w:val="registration-status"/>
              <w:spacing w:before="0" w:after="0"/>
            </w:pPr>
            <w:hyperlink w:history="true" r:id="Rbb3eb698ee4e4d67">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55902e57049843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ba7360f19946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902e57049843e0" /><Relationship Type="http://schemas.openxmlformats.org/officeDocument/2006/relationships/header" Target="/word/header1.xml" Id="R481a5d903ae54bf1" /><Relationship Type="http://schemas.openxmlformats.org/officeDocument/2006/relationships/settings" Target="/word/settings.xml" Id="R95c4cca0f2b84691" /><Relationship Type="http://schemas.openxmlformats.org/officeDocument/2006/relationships/styles" Target="/word/styles.xml" Id="R272aa8d694e3458e" /><Relationship Type="http://schemas.openxmlformats.org/officeDocument/2006/relationships/numbering" Target="/word/numbering.xml" Id="R364fa3def40a42fe" /><Relationship Type="http://schemas.openxmlformats.org/officeDocument/2006/relationships/hyperlink" Target="https://meteor-uat.aihw.gov.au/RegistrationAuthority/14" TargetMode="External" Id="R863ab7a711164136" /><Relationship Type="http://schemas.openxmlformats.org/officeDocument/2006/relationships/hyperlink" Target="https://meteor-uat.aihw.gov.au/content/655506" TargetMode="External" Id="Rf58694efebf74063" /><Relationship Type="http://schemas.openxmlformats.org/officeDocument/2006/relationships/hyperlink" Target="https://meteor-uat.aihw.gov.au/RegistrationAuthority/14" TargetMode="External" Id="R941cc4acad174695" /><Relationship Type="http://schemas.openxmlformats.org/officeDocument/2006/relationships/hyperlink" Target="https://meteor-uat.aihw.gov.au/content/695711" TargetMode="External" Id="Re1d580ad0c2e4144" /><Relationship Type="http://schemas.openxmlformats.org/officeDocument/2006/relationships/hyperlink" Target="https://meteor-uat.aihw.gov.au/RegistrationAuthority/14" TargetMode="External" Id="R829ca0bd58d44a92" /><Relationship Type="http://schemas.openxmlformats.org/officeDocument/2006/relationships/hyperlink" Target="https://meteor-uat.aihw.gov.au/content/733456" TargetMode="External" Id="Rce6977ee49cb458e" /><Relationship Type="http://schemas.openxmlformats.org/officeDocument/2006/relationships/hyperlink" Target="https://meteor-uat.aihw.gov.au/RegistrationAuthority/14" TargetMode="External" Id="Rc68dd39976be40d6" /><Relationship Type="http://schemas.openxmlformats.org/officeDocument/2006/relationships/hyperlink" Target="https://meteor-uat.aihw.gov.au/content/733459" TargetMode="External" Id="Re0805fdaedca4d31" /><Relationship Type="http://schemas.openxmlformats.org/officeDocument/2006/relationships/hyperlink" Target="https://meteor-uat.aihw.gov.au/RegistrationAuthority/14" TargetMode="External" Id="R06b3399c859c435d" /><Relationship Type="http://schemas.openxmlformats.org/officeDocument/2006/relationships/hyperlink" Target="https://meteor-uat.aihw.gov.au/content/695720" TargetMode="External" Id="R844add02ffd54007" /><Relationship Type="http://schemas.openxmlformats.org/officeDocument/2006/relationships/hyperlink" Target="https://meteor-uat.aihw.gov.au/RegistrationAuthority/14" TargetMode="External" Id="Rbb3eb698ee4e4d67" /></Relationships>
</file>

<file path=word/_rels/header1.xml.rels>&#65279;<?xml version="1.0" encoding="utf-8"?><Relationships xmlns="http://schemas.openxmlformats.org/package/2006/relationships"><Relationship Type="http://schemas.openxmlformats.org/officeDocument/2006/relationships/image" Target="/media/image.png" Id="R91ba7360f1994637" /></Relationships>
</file>