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e5ed08cd73480c" /></Relationships>
</file>

<file path=word/document.xml><?xml version="1.0" encoding="utf-8"?>
<w:document xmlns:r="http://schemas.openxmlformats.org/officeDocument/2006/relationships" xmlns:w="http://schemas.openxmlformats.org/wordprocessingml/2006/main">
  <w:body>
    <w:p>
      <w:pPr>
        <w:pStyle w:val="Title"/>
      </w:pPr>
      <w:r>
        <w:t>Female—alcohol consumption frequency in the first 20 weeks of pregnancy,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Female—alcohol consumption frequency in the first 20 weeks of pregnancy,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Alcohol consumption frequency in first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691052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953ff782ae48d2">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frequency of alcohol consumption by a female in the first 20 weeks of pregnancy,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896556d47144534">
              <w:r>
                <w:rPr>
                  <w:rStyle w:val="Hyperlink"/>
                </w:rPr>
                <w:t xml:space="preserve">Female—alcohol consumption frequency in the first 20 weeks of pregnancy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9fc8b0554fb4a89">
              <w:r>
                <w:rPr>
                  <w:rStyle w:val="Hyperlink"/>
                </w:rPr>
                <w:t xml:space="preserve">Alcohol consumption frequency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Monthly or 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2–4 times a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2–3 times a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4 or more times a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Dawson D, Grant B, Stinson F &amp; Zhou Y 2005. Effectiveness of the derived Alcohol Use Disorders Identification Test (AUDIT-C) in screening for alcohol use disorders and risk drinking in the US general population. Alcohol Clinical and Experimental Research 29(5): 844–854.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   Never</w:t>
            </w:r>
          </w:p>
          <w:p>
            <w:pPr>
              <w:spacing w:after="160"/>
            </w:pPr>
            <w:r>
              <w:rPr>
                <w:rStyle w:val="row-content-rich-text"/>
              </w:rPr>
              <w:t xml:space="preserve">Record if a female did not consume alcohol in the first 20 weeks of pregnancy.</w:t>
            </w:r>
          </w:p>
          <w:p>
            <w:pPr>
              <w:spacing w:after="160"/>
            </w:pPr>
            <w:r>
              <w:rPr>
                <w:rStyle w:val="row-content-rich-text"/>
              </w:rPr>
              <w:t xml:space="preserve">CODE 1   Monthly or less</w:t>
            </w:r>
          </w:p>
          <w:p>
            <w:pPr>
              <w:spacing w:after="160"/>
            </w:pPr>
            <w:r>
              <w:rPr>
                <w:rStyle w:val="row-content-rich-text"/>
              </w:rPr>
              <w:t xml:space="preserve">Record if a female consumed alcohol monthly or less in the first 20 weeks of pregnancy.</w:t>
            </w:r>
          </w:p>
          <w:p>
            <w:pPr>
              <w:spacing w:after="160"/>
            </w:pPr>
            <w:r>
              <w:rPr>
                <w:rStyle w:val="row-content-rich-text"/>
              </w:rPr>
              <w:t xml:space="preserve">CODE 2   2–4 times a month</w:t>
            </w:r>
          </w:p>
          <w:p>
            <w:pPr>
              <w:spacing w:after="160"/>
            </w:pPr>
            <w:r>
              <w:rPr>
                <w:rStyle w:val="row-content-rich-text"/>
              </w:rPr>
              <w:t xml:space="preserve">Record if a female consumed alcohol 2 to 4 times a month in the first 20 weeks of pregnancy.</w:t>
            </w:r>
          </w:p>
          <w:p>
            <w:pPr>
              <w:spacing w:after="160"/>
            </w:pPr>
            <w:r>
              <w:rPr>
                <w:rStyle w:val="row-content-rich-text"/>
              </w:rPr>
              <w:t xml:space="preserve">CODE 3   2–3 times a week</w:t>
            </w:r>
          </w:p>
          <w:p>
            <w:pPr>
              <w:spacing w:after="160"/>
            </w:pPr>
            <w:r>
              <w:rPr>
                <w:rStyle w:val="row-content-rich-text"/>
              </w:rPr>
              <w:t xml:space="preserve">Record if a female consumed alcohol 2 to 3 times a week in the first 20 weeks of pregnancy.</w:t>
            </w:r>
          </w:p>
          <w:p>
            <w:pPr>
              <w:spacing w:after="160"/>
            </w:pPr>
            <w:r>
              <w:rPr>
                <w:rStyle w:val="row-content-rich-text"/>
              </w:rPr>
              <w:t xml:space="preserve">CODE 4   4 or more times a week</w:t>
            </w:r>
          </w:p>
          <w:p>
            <w:pPr>
              <w:spacing w:after="160"/>
            </w:pPr>
            <w:r>
              <w:rPr>
                <w:rStyle w:val="row-content-rich-text"/>
              </w:rPr>
              <w:t xml:space="preserve">Record if a female consumed alcohol 4 or more times a week in the first 20 weeks of pregnancy.</w:t>
            </w:r>
          </w:p>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self-reported.</w:t>
            </w:r>
          </w:p>
          <w:p>
            <w:pPr>
              <w:spacing w:after="160"/>
            </w:pPr>
            <w:r>
              <w:rPr>
                <w:rStyle w:val="row-content-rich-text"/>
              </w:rPr>
              <w:t xml:space="preserve">Recommended question: 'How often did you have a drink containing alcohol in the first 20 weeks of pregnancy?', where the first 20 weeks of pregnancy is defined as less than or equal to 19 weeks + 6 days.</w:t>
            </w:r>
          </w:p>
          <w:p>
            <w:pPr/>
            <w:r>
              <w:rPr>
                <w:rStyle w:val="row-content-rich-text"/>
              </w:rPr>
              <w:t xml:space="preserve">To ensure consistency of results, this data element should be collected after the first 20 weeks of pregnancy.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cd55a75e1594a72">
              <w:r>
                <w:rPr>
                  <w:rStyle w:val="Hyperlink"/>
                </w:rPr>
                <w:t xml:space="preserve">Female—alcohol consumption frequency after 20 weeks of pregnancy, code N</w:t>
              </w:r>
            </w:hyperlink>
          </w:p>
          <w:p>
            <w:pPr>
              <w:pStyle w:val="registration-status"/>
              <w:spacing w:before="0" w:after="0"/>
            </w:pPr>
            <w:hyperlink w:history="true" r:id="R6eb16a92ed4c43ff">
              <w:r>
                <w:rPr>
                  <w:rStyle w:val="Hyperlink"/>
                  <w:color w:val="244061"/>
                </w:rPr>
                <w:t xml:space="preserve">Health!</w:t>
              </w:r>
            </w:hyperlink>
            <w:r>
              <w:rPr>
                <w:rStyle w:val="row-content"/>
                <w:color w:val="244061"/>
              </w:rPr>
              <w:t xml:space="preserve">, Standard 12/12/2018</w:t>
            </w:r>
          </w:p>
          <w:p>
            <w:r>
              <w:br/>
            </w:r>
            <w:r>
              <w:rPr>
                <w:rStyle w:val="row-content"/>
              </w:rPr>
              <w:t xml:space="preserve">See also </w:t>
            </w:r>
            <w:hyperlink w:history="true" r:id="R1d19d1ffcb0c4d89">
              <w:r>
                <w:rPr>
                  <w:rStyle w:val="Hyperlink"/>
                </w:rPr>
                <w:t xml:space="preserve">Female—alcohol consumption in the first 20 weeks of pregnancy indicator, yes/no/not stated/inadequately described code N</w:t>
              </w:r>
            </w:hyperlink>
          </w:p>
          <w:p>
            <w:pPr>
              <w:pStyle w:val="registration-status"/>
              <w:spacing w:before="0" w:after="0"/>
            </w:pPr>
            <w:hyperlink w:history="true" r:id="R789ca9bdbc8244d0">
              <w:r>
                <w:rPr>
                  <w:rStyle w:val="Hyperlink"/>
                  <w:color w:val="244061"/>
                </w:rPr>
                <w:t xml:space="preserve">Health!</w:t>
              </w:r>
            </w:hyperlink>
            <w:r>
              <w:rPr>
                <w:rStyle w:val="row-content"/>
                <w:color w:val="244061"/>
              </w:rPr>
              <w:t xml:space="preserve">, Standard 12/12/2018</w:t>
            </w:r>
          </w:p>
          <w:p>
            <w:r>
              <w:br/>
            </w:r>
            <w:r>
              <w:rPr>
                <w:rStyle w:val="row-content"/>
              </w:rPr>
              <w:t xml:space="preserve">See also </w:t>
            </w:r>
            <w:hyperlink w:history="true" r:id="Rb493e9b8932f4f07">
              <w:r>
                <w:rPr>
                  <w:rStyle w:val="Hyperlink"/>
                </w:rPr>
                <w:t xml:space="preserve">Female—number of standard drinks consumed when drinking alcohol in the first 20 weeks of pregnancy, total N[NN]</w:t>
              </w:r>
            </w:hyperlink>
          </w:p>
          <w:p>
            <w:pPr>
              <w:pStyle w:val="registration-status"/>
              <w:spacing w:before="0" w:after="0"/>
            </w:pPr>
            <w:hyperlink w:history="true" r:id="R3225797c10ee4d60">
              <w:r>
                <w:rPr>
                  <w:rStyle w:val="Hyperlink"/>
                  <w:color w:val="244061"/>
                </w:rPr>
                <w:t xml:space="preserve">Health!</w:t>
              </w:r>
            </w:hyperlink>
            <w:r>
              <w:rPr>
                <w:rStyle w:val="row-content"/>
                <w:color w:val="244061"/>
              </w:rPr>
              <w:t xml:space="preserve">, Standard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47e445e6ad3430d">
              <w:r>
                <w:rPr>
                  <w:rStyle w:val="Hyperlink"/>
                </w:rPr>
                <w:t xml:space="preserve">Perinatal NBEDS 2019–20</w:t>
              </w:r>
            </w:hyperlink>
          </w:p>
          <w:p>
            <w:pPr>
              <w:pStyle w:val="registration-status"/>
              <w:spacing w:before="0" w:after="0"/>
            </w:pPr>
            <w:hyperlink w:history="true" r:id="Rfd5465ce04234c80">
              <w:r>
                <w:rPr>
                  <w:rStyle w:val="Hyperlink"/>
                  <w:color w:val="244061"/>
                </w:rPr>
                <w:t xml:space="preserve">Health!</w:t>
              </w:r>
            </w:hyperlink>
            <w:r>
              <w:rPr>
                <w:rStyle w:val="row-content"/>
                <w:color w:val="244061"/>
              </w:rPr>
              <w:t xml:space="preserve">, Superseded 20/11/2019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element is only to be recorded if the response to the </w:t>
            </w:r>
            <w:hyperlink w:history="true" r:id="R13e816e45b5c43e9">
              <w:r>
                <w:rPr>
                  <w:rStyle w:val="Hyperlink"/>
                </w:rPr>
                <w:t xml:space="preserve">Female—alcohol consumption in the first 20 weeks of pregnancy indicator, yes/no/not stated/inadequately described code N</w:t>
              </w:r>
            </w:hyperlink>
            <w:r>
              <w:rPr>
                <w:rStyle w:val="row-content"/>
              </w:rPr>
              <w:t xml:space="preserve"> data element is Code 1 (Yes).</w:t>
            </w:r>
          </w:p>
          <w:p>
            <w:r>
              <w:br/>
            </w:r>
            <w:r>
              <w:br/>
            </w:r>
            <w:hyperlink w:history="true" r:id="R0084ada5c71b441c">
              <w:r>
                <w:rPr>
                  <w:rStyle w:val="Hyperlink"/>
                </w:rPr>
                <w:t xml:space="preserve">Perinatal NBEDS 2020–21</w:t>
              </w:r>
            </w:hyperlink>
          </w:p>
          <w:p>
            <w:pPr>
              <w:pStyle w:val="registration-status"/>
              <w:spacing w:before="0" w:after="0"/>
            </w:pPr>
            <w:hyperlink w:history="true" r:id="R3cd9bae81cf34f9f">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data element is only to be recorded if the response to the </w:t>
            </w:r>
            <w:hyperlink w:history="true" r:id="R998751951a7147f3">
              <w:r>
                <w:rPr>
                  <w:rStyle w:val="Hyperlink"/>
                </w:rPr>
                <w:t xml:space="preserve">Female—alcohol consumption in the first 20 weeks of pregnancy indicator, yes/no/not stated/inadequately described code N</w:t>
              </w:r>
            </w:hyperlink>
            <w:r>
              <w:rPr>
                <w:rStyle w:val="row-content"/>
              </w:rPr>
              <w:t xml:space="preserve"> data element is Code 1 (Yes).</w:t>
            </w:r>
          </w:p>
          <w:p>
            <w:r>
              <w:br/>
            </w:r>
            <w:r>
              <w:br/>
            </w:r>
            <w:hyperlink w:history="true" r:id="Rb7368bb3ca814bd8">
              <w:r>
                <w:rPr>
                  <w:rStyle w:val="Hyperlink"/>
                </w:rPr>
                <w:t xml:space="preserve">Perinatal NBEDS 2021–22</w:t>
              </w:r>
            </w:hyperlink>
          </w:p>
          <w:p>
            <w:pPr>
              <w:pStyle w:val="registration-status"/>
              <w:spacing w:before="0" w:after="0"/>
            </w:pPr>
            <w:hyperlink w:history="true" r:id="R7d96fb179b0a469b">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data element is only to be recorded if the response to the </w:t>
            </w:r>
            <w:hyperlink w:history="true" r:id="R0cc58e8aa44e4c28">
              <w:r>
                <w:rPr>
                  <w:rStyle w:val="Hyperlink"/>
                </w:rPr>
                <w:t xml:space="preserve">Female—alcohol consumption in the first 20 weeks of pregnancy indicator, yes/no/not stated/inadequately described code N</w:t>
              </w:r>
            </w:hyperlink>
            <w:r>
              <w:rPr>
                <w:rStyle w:val="row-content"/>
              </w:rPr>
              <w:t xml:space="preserve"> data element is Code 1 (Yes).</w:t>
            </w:r>
          </w:p>
          <w:p>
            <w:r>
              <w:br/>
            </w:r>
            <w:r>
              <w:rPr>
                <w:rStyle w:val="row-content"/>
                <w:b/>
                <w:i/>
              </w:rPr>
              <w:t xml:space="preserve">DSS specific information: </w:t>
            </w:r>
          </w:p>
          <w:p>
            <w:r>
              <w:rPr>
                <w:rStyle w:val="row-content"/>
              </w:rPr>
              <w:t xml:space="preserve">This data element is recorded for the mother only.</w:t>
            </w:r>
          </w:p>
          <w:p>
            <w:r>
              <w:br/>
            </w:r>
            <w:r>
              <w:br/>
            </w:r>
            <w:hyperlink w:history="true" r:id="Ra51e79bae42347bb">
              <w:r>
                <w:rPr>
                  <w:rStyle w:val="Hyperlink"/>
                </w:rPr>
                <w:t xml:space="preserve">Perinatal NBEDS 2022–23</w:t>
              </w:r>
            </w:hyperlink>
          </w:p>
          <w:p>
            <w:pPr>
              <w:pStyle w:val="registration-status"/>
              <w:spacing w:before="0" w:after="0"/>
            </w:pPr>
            <w:hyperlink w:history="true" r:id="R122a13876d57443a">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only to be recorded if the response to the </w:t>
            </w:r>
            <w:hyperlink w:history="true" r:id="R9e5eaee9543e4241">
              <w:r>
                <w:rPr>
                  <w:rStyle w:val="Hyperlink"/>
                </w:rPr>
                <w:t xml:space="preserve">Female—alcohol consumption in the first 20 weeks of pregnancy indicator, yes/no/not stated/inadequately described code N</w:t>
              </w:r>
            </w:hyperlink>
            <w:r>
              <w:rPr>
                <w:rStyle w:val="row-content"/>
              </w:rPr>
              <w:t xml:space="preserve"> data element is Code 1 (Yes).</w:t>
            </w:r>
          </w:p>
          <w:p>
            <w:r>
              <w:br/>
            </w:r>
            <w:r>
              <w:rPr>
                <w:rStyle w:val="row-content"/>
                <w:b/>
                <w:i/>
              </w:rPr>
              <w:t xml:space="preserve">DSS specific information: </w:t>
            </w:r>
          </w:p>
          <w:p>
            <w:r>
              <w:rPr>
                <w:rStyle w:val="row-content"/>
              </w:rPr>
              <w:t xml:space="preserve">This data element is recorded for the mother only.</w:t>
            </w:r>
          </w:p>
          <w:p>
            <w:r>
              <w:br/>
            </w:r>
            <w:r>
              <w:br/>
            </w:r>
          </w:p>
        </w:tc>
      </w:tr>
    </w:tbl>
    <w:p/>
    <w:tbl>
      <w:tblPr>
        <w:tblStyle w:val="TableGrid"/>
        <w:tblW w:w="0" w:type="auto"/>
      </w:tblPr>
    </w:tbl>
    <w:p>
      <w:r>
        <w:br/>
      </w:r>
    </w:p>
    <w:sectPr>
      <w:footerReference xmlns:r="http://schemas.openxmlformats.org/officeDocument/2006/relationships" w:type="default" r:id="R90e3c781969549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691052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043ed6fdd64f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e3c78196954901" /><Relationship Type="http://schemas.openxmlformats.org/officeDocument/2006/relationships/header" Target="/word/header1.xml" Id="R963f1337ab444b2e" /><Relationship Type="http://schemas.openxmlformats.org/officeDocument/2006/relationships/settings" Target="/word/settings.xml" Id="R6e21e56d98354a44" /><Relationship Type="http://schemas.openxmlformats.org/officeDocument/2006/relationships/styles" Target="/word/styles.xml" Id="R9bc8dfbde28545d5" /><Relationship Type="http://schemas.openxmlformats.org/officeDocument/2006/relationships/hyperlink" Target="https://meteor-uat.aihw.gov.au/RegistrationAuthority/14" TargetMode="External" Id="R1d953ff782ae48d2" /><Relationship Type="http://schemas.openxmlformats.org/officeDocument/2006/relationships/hyperlink" Target="https://meteor-uat.aihw.gov.au/content/691050" TargetMode="External" Id="Ra896556d47144534" /><Relationship Type="http://schemas.openxmlformats.org/officeDocument/2006/relationships/hyperlink" Target="https://meteor-uat.aihw.gov.au/content/693547" TargetMode="External" Id="R09fc8b0554fb4a89" /><Relationship Type="http://schemas.openxmlformats.org/officeDocument/2006/relationships/hyperlink" Target="https://meteor-uat.aihw.gov.au/content/691060" TargetMode="External" Id="Recd55a75e1594a72" /><Relationship Type="http://schemas.openxmlformats.org/officeDocument/2006/relationships/hyperlink" Target="https://meteor-uat.aihw.gov.au/RegistrationAuthority/14" TargetMode="External" Id="R6eb16a92ed4c43ff" /><Relationship Type="http://schemas.openxmlformats.org/officeDocument/2006/relationships/hyperlink" Target="https://meteor-uat.aihw.gov.au/content/690482" TargetMode="External" Id="R1d19d1ffcb0c4d89" /><Relationship Type="http://schemas.openxmlformats.org/officeDocument/2006/relationships/hyperlink" Target="https://meteor-uat.aihw.gov.au/RegistrationAuthority/14" TargetMode="External" Id="R789ca9bdbc8244d0" /><Relationship Type="http://schemas.openxmlformats.org/officeDocument/2006/relationships/hyperlink" Target="https://meteor-uat.aihw.gov.au/content/690993" TargetMode="External" Id="Rb493e9b8932f4f07" /><Relationship Type="http://schemas.openxmlformats.org/officeDocument/2006/relationships/hyperlink" Target="https://meteor-uat.aihw.gov.au/RegistrationAuthority/14" TargetMode="External" Id="R3225797c10ee4d60" /><Relationship Type="http://schemas.openxmlformats.org/officeDocument/2006/relationships/hyperlink" Target="https://meteor-uat.aihw.gov.au/content/694991" TargetMode="External" Id="R747e445e6ad3430d" /><Relationship Type="http://schemas.openxmlformats.org/officeDocument/2006/relationships/hyperlink" Target="https://meteor-uat.aihw.gov.au/RegistrationAuthority/14" TargetMode="External" Id="Rfd5465ce04234c80" /><Relationship Type="http://schemas.openxmlformats.org/officeDocument/2006/relationships/hyperlink" Target="https://meteor-uat.aihw.gov.au/content/690482" TargetMode="External" Id="R13e816e45b5c43e9" /><Relationship Type="http://schemas.openxmlformats.org/officeDocument/2006/relationships/hyperlink" Target="https://meteor-uat.aihw.gov.au/content/716067" TargetMode="External" Id="R0084ada5c71b441c" /><Relationship Type="http://schemas.openxmlformats.org/officeDocument/2006/relationships/hyperlink" Target="https://meteor-uat.aihw.gov.au/RegistrationAuthority/14" TargetMode="External" Id="R3cd9bae81cf34f9f" /><Relationship Type="http://schemas.openxmlformats.org/officeDocument/2006/relationships/hyperlink" Target="https://meteor-uat.aihw.gov.au/content/690482" TargetMode="External" Id="R998751951a7147f3" /><Relationship Type="http://schemas.openxmlformats.org/officeDocument/2006/relationships/hyperlink" Target="https://meteor-uat.aihw.gov.au/content/727295" TargetMode="External" Id="Rb7368bb3ca814bd8" /><Relationship Type="http://schemas.openxmlformats.org/officeDocument/2006/relationships/hyperlink" Target="https://meteor-uat.aihw.gov.au/RegistrationAuthority/14" TargetMode="External" Id="R7d96fb179b0a469b" /><Relationship Type="http://schemas.openxmlformats.org/officeDocument/2006/relationships/hyperlink" Target="https://meteor-uat.aihw.gov.au/content/690482" TargetMode="External" Id="R0cc58e8aa44e4c28" /><Relationship Type="http://schemas.openxmlformats.org/officeDocument/2006/relationships/hyperlink" Target="https://meteor-uat.aihw.gov.au/content/742055" TargetMode="External" Id="Ra51e79bae42347bb" /><Relationship Type="http://schemas.openxmlformats.org/officeDocument/2006/relationships/hyperlink" Target="https://meteor-uat.aihw.gov.au/RegistrationAuthority/14" TargetMode="External" Id="R122a13876d57443a" /><Relationship Type="http://schemas.openxmlformats.org/officeDocument/2006/relationships/hyperlink" Target="https://meteor-uat.aihw.gov.au/content/690482" TargetMode="External" Id="R9e5eaee9543e4241" /></Relationships>
</file>

<file path=word/_rels/header1.xml.rels>&#65279;<?xml version="1.0" encoding="utf-8"?><Relationships xmlns="http://schemas.openxmlformats.org/package/2006/relationships"><Relationship Type="http://schemas.openxmlformats.org/officeDocument/2006/relationships/image" Target="/media/image.png" Id="Re5043ed6fdd64fee" /></Relationships>
</file>