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2e00531211c4f3d" /></Relationships>
</file>

<file path=word/document.xml><?xml version="1.0" encoding="utf-8"?>
<w:document xmlns:r="http://schemas.openxmlformats.org/officeDocument/2006/relationships" xmlns:w="http://schemas.openxmlformats.org/wordprocessingml/2006/main">
  <w:body>
    <w:p>
      <w:pPr>
        <w:pStyle w:val="Title"/>
      </w:pPr>
      <w:r>
        <w:t>Specialist Homelessness Services accommodation type and start/end date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Specialist Homelessness Services accommodation type and start/end date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689319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2681cc87a484ca3">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Specialist Homelessness Services accommodation type and start/end date cluster defines information on the accommodation provided to a client during a collection month and the commencement and cessation dates of supported accommodation.</w:t>
            </w:r>
          </w:p>
          <w:p>
            <w:pPr>
              <w:spacing w:after="160"/>
            </w:pPr>
            <w:r>
              <w:rPr>
                <w:rStyle w:val="row-content-rich-text"/>
              </w:rPr>
              <w:t xml:space="preserve">The cluster collects:</w:t>
            </w:r>
          </w:p>
          <w:p>
            <w:pPr>
              <w:pStyle w:val="ListParagraph"/>
              <w:numPr>
                <w:ilvl w:val="0"/>
                <w:numId w:val="2"/>
              </w:numPr>
            </w:pPr>
            <w:r>
              <w:rPr>
                <w:rStyle w:val="row-content-rich-text"/>
              </w:rPr>
              <w:t xml:space="preserve">the type of accommodation (e.g. short term/emergency, medium term/transitional, or long term) the client was provided</w:t>
            </w:r>
          </w:p>
          <w:p>
            <w:pPr>
              <w:pStyle w:val="ListParagraph"/>
              <w:numPr>
                <w:ilvl w:val="0"/>
                <w:numId w:val="2"/>
              </w:numPr>
            </w:pPr>
            <w:r>
              <w:rPr>
                <w:rStyle w:val="row-content-rich-text"/>
              </w:rPr>
              <w:t xml:space="preserve">the date the accommodation period commenced (record the date in the format DDMMYYYY)</w:t>
            </w:r>
          </w:p>
          <w:p>
            <w:pPr>
              <w:pStyle w:val="ListParagraph"/>
              <w:numPr>
                <w:ilvl w:val="0"/>
                <w:numId w:val="2"/>
              </w:numPr>
            </w:pPr>
            <w:r>
              <w:rPr>
                <w:rStyle w:val="row-content-rich-text"/>
              </w:rPr>
              <w:t xml:space="preserve">the date the accommodation period ceased (record the date in the format DDMMYYYY).</w:t>
            </w:r>
          </w:p>
          <w:p>
            <w:pPr>
              <w:spacing w:after="160"/>
            </w:pPr>
            <w:r>
              <w:rPr>
                <w:rStyle w:val="row-content-rich-text"/>
                <w:b/>
              </w:rPr>
              <w:t xml:space="preserve">Table 1: Accommodation types by date</w:t>
            </w:r>
          </w:p>
          <w:p>
            <w:pPr>
              <w:spacing w:after="160"/>
            </w:pPr>
            <w:r>
              <w:rPr>
                <w:rStyle w:val="row-content-rich-text"/>
              </w:rPr>
              <w:t xml:space="preserve"> </w:t>
            </w:r>
          </w:p>
          <w:tbl>
            <w:tblPr>
              <w:tblStyle w:val="TableGrid"/>
              <w:tblW w:w="5000" w:type="pct"/>
              <w:tblLayout w:type="autofit"/>
            </w:tblPr>
            <w:tblGrid>
              <w:gridCol/>
              <w:gridCol/>
              <w:gridCol/>
              <w:gridCol/>
              <w:gridCol/>
              <w:gridCol/>
              <w:gridCol/>
              <w:gridCol/>
              <w:gridCol/>
              <w:gridCol/>
              <w:gridCol/>
              <w:gridCol/>
              <w:gridCol/>
              <w:gridCol/>
              <w:gridCol/>
              <w:gridCol/>
            </w:tblGrid>
            <w:tr>
              <w:trPr/>
              <w:tc>
                <w:tcPr>
                  <w:tcW w:w="1250" w:type="pct"/>
                  <w:vMerge w:val="restart"/>
                  <w:vAlign w:val="top"/>
                </w:tcPr>
                <w:p>
                  <w:pPr/>
                  <w:r>
                    <w:rPr>
                      <w:rStyle w:val="row-content-rich-text"/>
                    </w:rPr>
                    <w:t xml:space="preserve"> </w:t>
                  </w:r>
                </w:p>
              </w:tc>
              <w:tc>
                <w:tcPr>
                  <w:tcW w:w="1250" w:type="pct"/>
                  <w:gridSpan w:val="15"/>
                  <w:vAlign w:val="top"/>
                </w:tcPr>
                <w:p>
                  <w:r>
                    <w:t xml:space="preserve">Accommodation calendar dates</w:t>
                  </w:r>
                </w:p>
              </w:tc>
            </w:tr>
            <w:tr>
              <w:trPr/>
              <w:tc>
                <w:tcPr>
                  <w:tcW w:w="1250" w:type="pct"/>
                  <w:vMerge/>
                </w:tcPr>
                <w:p/>
              </w:tc>
              <w:tc>
                <w:tcPr>
                  <w:tcW w:w="1250" w:type="pct"/>
                  <w:vAlign w:val="top"/>
                </w:tcPr>
                <w:p>
                  <w:r>
                    <w:t xml:space="preserve">1</w:t>
                  </w:r>
                </w:p>
              </w:tc>
              <w:tc>
                <w:tcPr>
                  <w:tcW w:w="150" w:type="pct"/>
                  <w:vAlign w:val="top"/>
                </w:tcPr>
                <w:p>
                  <w:r>
                    <w:t xml:space="preserve">2</w:t>
                  </w:r>
                </w:p>
              </w:tc>
              <w:tc>
                <w:tcPr>
                  <w:tcW w:w="150" w:type="pct"/>
                  <w:vAlign w:val="top"/>
                </w:tcPr>
                <w:p>
                  <w:r>
                    <w:t xml:space="preserve">3</w:t>
                  </w:r>
                </w:p>
              </w:tc>
              <w:tc>
                <w:tcPr>
                  <w:tcW w:w="150" w:type="pct"/>
                  <w:vAlign w:val="top"/>
                </w:tcPr>
                <w:p>
                  <w:r>
                    <w:t xml:space="preserve">4</w:t>
                  </w:r>
                </w:p>
              </w:tc>
              <w:tc>
                <w:tcPr>
                  <w:tcW w:w="150" w:type="pct"/>
                  <w:vAlign w:val="top"/>
                </w:tcPr>
                <w:p>
                  <w:r>
                    <w:t xml:space="preserve">5</w:t>
                  </w:r>
                </w:p>
              </w:tc>
              <w:tc>
                <w:tcPr>
                  <w:tcW w:w="150" w:type="pct"/>
                  <w:vAlign w:val="top"/>
                </w:tcPr>
                <w:p>
                  <w:r>
                    <w:t xml:space="preserve">6</w:t>
                  </w:r>
                </w:p>
              </w:tc>
              <w:tc>
                <w:tcPr>
                  <w:tcW w:w="150" w:type="pct"/>
                  <w:vAlign w:val="top"/>
                </w:tcPr>
                <w:p>
                  <w:r>
                    <w:t xml:space="preserve">7</w:t>
                  </w:r>
                </w:p>
              </w:tc>
              <w:tc>
                <w:tcPr>
                  <w:tcW w:w="150" w:type="pct"/>
                  <w:vAlign w:val="top"/>
                </w:tcPr>
                <w:p>
                  <w:r>
                    <w:t xml:space="preserve">8</w:t>
                  </w:r>
                </w:p>
              </w:tc>
              <w:tc>
                <w:tcPr>
                  <w:tcW w:w="150" w:type="pct"/>
                  <w:vAlign w:val="top"/>
                </w:tcPr>
                <w:p>
                  <w:r>
                    <w:t xml:space="preserve">9</w:t>
                  </w:r>
                </w:p>
              </w:tc>
              <w:tc>
                <w:tcPr>
                  <w:tcW w:w="150" w:type="pct"/>
                  <w:vAlign w:val="top"/>
                </w:tcPr>
                <w:p>
                  <w:r>
                    <w:t xml:space="preserve">10</w:t>
                  </w:r>
                </w:p>
              </w:tc>
              <w:tc>
                <w:tcPr>
                  <w:tcW w:w="150" w:type="pct"/>
                  <w:vAlign w:val="top"/>
                </w:tcPr>
                <w:p>
                  <w:r>
                    <w:t xml:space="preserve">11</w:t>
                  </w:r>
                </w:p>
              </w:tc>
              <w:tc>
                <w:tcPr>
                  <w:tcW w:w="150" w:type="pct"/>
                  <w:vAlign w:val="top"/>
                </w:tcPr>
                <w:p>
                  <w:r>
                    <w:t xml:space="preserve">12</w:t>
                  </w:r>
                </w:p>
              </w:tc>
              <w:tc>
                <w:tcPr>
                  <w:tcW w:w="150" w:type="pct"/>
                  <w:vAlign w:val="top"/>
                </w:tcPr>
                <w:p>
                  <w:r>
                    <w:t xml:space="preserve">13</w:t>
                  </w:r>
                </w:p>
              </w:tc>
              <w:tc>
                <w:tcPr>
                  <w:tcW w:w="150" w:type="pct"/>
                  <w:vAlign w:val="top"/>
                </w:tcPr>
                <w:p>
                  <w:r>
                    <w:t xml:space="preserve">14</w:t>
                  </w:r>
                </w:p>
              </w:tc>
              <w:tc>
                <w:tcPr>
                  <w:tcW w:w="250" w:type="pct"/>
                  <w:vAlign w:val="top"/>
                </w:tcPr>
                <w:p>
                  <w:r>
                    <w:t xml:space="preserve">Etc.</w:t>
                  </w:r>
                </w:p>
              </w:tc>
            </w:tr>
            <w:tr>
              <w:trPr/>
              <w:tc>
                <w:tcPr>
                  <w:tcW w:w="1250" w:type="pct"/>
                  <w:vAlign w:val="top"/>
                </w:tcPr>
                <w:p>
                  <w:r>
                    <w:t xml:space="preserve">Short term</w:t>
                  </w:r>
                </w:p>
              </w:tc>
              <w:tc>
                <w:tcPr>
                  <w:tcW w:w="1250" w:type="pct"/>
                  <w:vAlign w:val="top"/>
                </w:tcPr>
                <w:p>
                  <w:r>
                    <w:t xml:space="preserve"> </w:t>
                  </w:r>
                </w:p>
              </w:tc>
              <w:tc>
                <w:tcPr>
                  <w:tcW w:w="150" w:type="pct"/>
                  <w:vAlign w:val="top"/>
                </w:tcPr>
                <w:p>
                  <w:r>
                    <w:t xml:space="preserve"> </w:t>
                  </w:r>
                </w:p>
              </w:tc>
              <w:tc>
                <w:tcPr>
                  <w:tcW w:w="150" w:type="pct"/>
                  <w:vAlign w:val="top"/>
                </w:tcPr>
                <w:p>
                  <w:r>
                    <w:t xml:space="preserve"> </w:t>
                  </w:r>
                </w:p>
              </w:tc>
              <w:tc>
                <w:tcPr>
                  <w:tcW w:w="150" w:type="pct"/>
                  <w:vAlign w:val="top"/>
                </w:tcPr>
                <w:p>
                  <w:r>
                    <w:t xml:space="preserve"> </w:t>
                  </w:r>
                </w:p>
              </w:tc>
              <w:tc>
                <w:tcPr>
                  <w:tcW w:w="150" w:type="pct"/>
                  <w:vAlign w:val="top"/>
                </w:tcPr>
                <w:p>
                  <w:r>
                    <w:t xml:space="preserve"> </w:t>
                  </w:r>
                </w:p>
              </w:tc>
              <w:tc>
                <w:tcPr>
                  <w:tcW w:w="150" w:type="pct"/>
                  <w:vAlign w:val="top"/>
                </w:tcPr>
                <w:p>
                  <w:r>
                    <w:t xml:space="preserve"> </w:t>
                  </w:r>
                </w:p>
              </w:tc>
              <w:tc>
                <w:tcPr>
                  <w:tcW w:w="150" w:type="pct"/>
                  <w:vAlign w:val="top"/>
                </w:tcPr>
                <w:p>
                  <w:r>
                    <w:t xml:space="preserve"> </w:t>
                  </w:r>
                </w:p>
              </w:tc>
              <w:tc>
                <w:tcPr>
                  <w:tcW w:w="150" w:type="pct"/>
                  <w:vAlign w:val="top"/>
                </w:tcPr>
                <w:p>
                  <w:r>
                    <w:t xml:space="preserve"> </w:t>
                  </w:r>
                </w:p>
              </w:tc>
              <w:tc>
                <w:tcPr>
                  <w:tcW w:w="150" w:type="pct"/>
                  <w:vAlign w:val="top"/>
                </w:tcPr>
                <w:p>
                  <w:r>
                    <w:t xml:space="preserve"> </w:t>
                  </w:r>
                </w:p>
              </w:tc>
              <w:tc>
                <w:tcPr>
                  <w:tcW w:w="150" w:type="pct"/>
                  <w:vAlign w:val="top"/>
                </w:tcPr>
                <w:p>
                  <w:r>
                    <w:t xml:space="preserve"> </w:t>
                  </w:r>
                </w:p>
              </w:tc>
              <w:tc>
                <w:tcPr>
                  <w:tcW w:w="150" w:type="pct"/>
                  <w:vAlign w:val="top"/>
                </w:tcPr>
                <w:p>
                  <w:r>
                    <w:t xml:space="preserve"> </w:t>
                  </w:r>
                </w:p>
              </w:tc>
              <w:tc>
                <w:tcPr>
                  <w:tcW w:w="150" w:type="pct"/>
                  <w:vAlign w:val="top"/>
                </w:tcPr>
                <w:p>
                  <w:r>
                    <w:t xml:space="preserve"> </w:t>
                  </w:r>
                </w:p>
              </w:tc>
              <w:tc>
                <w:tcPr>
                  <w:tcW w:w="150" w:type="pct"/>
                  <w:vAlign w:val="top"/>
                </w:tcPr>
                <w:p>
                  <w:r>
                    <w:t xml:space="preserve"> </w:t>
                  </w:r>
                </w:p>
              </w:tc>
              <w:tc>
                <w:tcPr>
                  <w:tcW w:w="150" w:type="pct"/>
                  <w:vAlign w:val="top"/>
                </w:tcPr>
                <w:p>
                  <w:r>
                    <w:t xml:space="preserve"> </w:t>
                  </w:r>
                </w:p>
              </w:tc>
              <w:tc>
                <w:tcPr>
                  <w:tcW w:w="250" w:type="pct"/>
                  <w:vAlign w:val="top"/>
                </w:tcPr>
                <w:p>
                  <w:r>
                    <w:t xml:space="preserve"> </w:t>
                  </w:r>
                </w:p>
              </w:tc>
            </w:tr>
            <w:tr>
              <w:trPr/>
              <w:tc>
                <w:tcPr>
                  <w:tcW w:w="1250" w:type="pct"/>
                  <w:vAlign w:val="top"/>
                </w:tcPr>
                <w:p>
                  <w:r>
                    <w:t xml:space="preserve">Medium term</w:t>
                  </w:r>
                </w:p>
              </w:tc>
              <w:tc>
                <w:tcPr>
                  <w:tcW w:w="1250" w:type="pct"/>
                  <w:vAlign w:val="top"/>
                </w:tcPr>
                <w:p>
                  <w:r>
                    <w:t xml:space="preserve"> </w:t>
                  </w:r>
                </w:p>
              </w:tc>
              <w:tc>
                <w:tcPr>
                  <w:tcW w:w="150" w:type="pct"/>
                  <w:vAlign w:val="top"/>
                </w:tcPr>
                <w:p>
                  <w:r>
                    <w:t xml:space="preserve"> </w:t>
                  </w:r>
                </w:p>
              </w:tc>
              <w:tc>
                <w:tcPr>
                  <w:tcW w:w="150" w:type="pct"/>
                  <w:vAlign w:val="top"/>
                </w:tcPr>
                <w:p>
                  <w:r>
                    <w:t xml:space="preserve"> </w:t>
                  </w:r>
                </w:p>
              </w:tc>
              <w:tc>
                <w:tcPr>
                  <w:tcW w:w="150" w:type="pct"/>
                  <w:vAlign w:val="top"/>
                </w:tcPr>
                <w:p>
                  <w:r>
                    <w:t xml:space="preserve"> </w:t>
                  </w:r>
                </w:p>
              </w:tc>
              <w:tc>
                <w:tcPr>
                  <w:tcW w:w="150" w:type="pct"/>
                  <w:vAlign w:val="top"/>
                </w:tcPr>
                <w:p>
                  <w:r>
                    <w:t xml:space="preserve"> </w:t>
                  </w:r>
                </w:p>
              </w:tc>
              <w:tc>
                <w:tcPr>
                  <w:tcW w:w="150" w:type="pct"/>
                  <w:vAlign w:val="top"/>
                </w:tcPr>
                <w:p>
                  <w:r>
                    <w:t xml:space="preserve"> </w:t>
                  </w:r>
                </w:p>
              </w:tc>
              <w:tc>
                <w:tcPr>
                  <w:tcW w:w="150" w:type="pct"/>
                  <w:vAlign w:val="top"/>
                </w:tcPr>
                <w:p>
                  <w:r>
                    <w:t xml:space="preserve"> </w:t>
                  </w:r>
                </w:p>
              </w:tc>
              <w:tc>
                <w:tcPr>
                  <w:tcW w:w="150" w:type="pct"/>
                  <w:vAlign w:val="top"/>
                </w:tcPr>
                <w:p>
                  <w:r>
                    <w:t xml:space="preserve"> </w:t>
                  </w:r>
                </w:p>
              </w:tc>
              <w:tc>
                <w:tcPr>
                  <w:tcW w:w="150" w:type="pct"/>
                  <w:vAlign w:val="top"/>
                </w:tcPr>
                <w:p>
                  <w:r>
                    <w:t xml:space="preserve"> </w:t>
                  </w:r>
                </w:p>
              </w:tc>
              <w:tc>
                <w:tcPr>
                  <w:tcW w:w="150" w:type="pct"/>
                  <w:vAlign w:val="top"/>
                </w:tcPr>
                <w:p>
                  <w:r>
                    <w:t xml:space="preserve"> </w:t>
                  </w:r>
                </w:p>
              </w:tc>
              <w:tc>
                <w:tcPr>
                  <w:tcW w:w="150" w:type="pct"/>
                  <w:vAlign w:val="top"/>
                </w:tcPr>
                <w:p>
                  <w:r>
                    <w:t xml:space="preserve"> </w:t>
                  </w:r>
                </w:p>
              </w:tc>
              <w:tc>
                <w:tcPr>
                  <w:tcW w:w="150" w:type="pct"/>
                  <w:vAlign w:val="top"/>
                </w:tcPr>
                <w:p>
                  <w:r>
                    <w:t xml:space="preserve"> </w:t>
                  </w:r>
                </w:p>
              </w:tc>
              <w:tc>
                <w:tcPr>
                  <w:tcW w:w="150" w:type="pct"/>
                  <w:vAlign w:val="top"/>
                </w:tcPr>
                <w:p>
                  <w:r>
                    <w:t xml:space="preserve"> </w:t>
                  </w:r>
                </w:p>
              </w:tc>
              <w:tc>
                <w:tcPr>
                  <w:tcW w:w="150" w:type="pct"/>
                  <w:vAlign w:val="top"/>
                </w:tcPr>
                <w:p>
                  <w:r>
                    <w:t xml:space="preserve"> </w:t>
                  </w:r>
                </w:p>
              </w:tc>
              <w:tc>
                <w:tcPr>
                  <w:tcW w:w="250" w:type="pct"/>
                  <w:vAlign w:val="top"/>
                </w:tcPr>
                <w:p>
                  <w:r>
                    <w:t xml:space="preserve"> </w:t>
                  </w:r>
                </w:p>
              </w:tc>
            </w:tr>
            <w:tr>
              <w:trPr/>
              <w:tc>
                <w:tcPr>
                  <w:tcW w:w="1250" w:type="pct"/>
                  <w:vAlign w:val="top"/>
                </w:tcPr>
                <w:p>
                  <w:r>
                    <w:t xml:space="preserve">Long term</w:t>
                  </w:r>
                </w:p>
              </w:tc>
              <w:tc>
                <w:tcPr>
                  <w:tcW w:w="1250" w:type="pct"/>
                  <w:vAlign w:val="top"/>
                </w:tcPr>
                <w:p>
                  <w:r>
                    <w:t xml:space="preserve"> </w:t>
                  </w:r>
                </w:p>
              </w:tc>
              <w:tc>
                <w:tcPr>
                  <w:tcW w:w="150" w:type="pct"/>
                  <w:vAlign w:val="top"/>
                </w:tcPr>
                <w:p>
                  <w:r>
                    <w:t xml:space="preserve"> </w:t>
                  </w:r>
                </w:p>
              </w:tc>
              <w:tc>
                <w:tcPr>
                  <w:tcW w:w="150" w:type="pct"/>
                  <w:vAlign w:val="top"/>
                </w:tcPr>
                <w:p>
                  <w:r>
                    <w:t xml:space="preserve"> </w:t>
                  </w:r>
                </w:p>
              </w:tc>
              <w:tc>
                <w:tcPr>
                  <w:tcW w:w="150" w:type="pct"/>
                  <w:vAlign w:val="top"/>
                </w:tcPr>
                <w:p>
                  <w:r>
                    <w:t xml:space="preserve"> </w:t>
                  </w:r>
                </w:p>
              </w:tc>
              <w:tc>
                <w:tcPr>
                  <w:tcW w:w="150" w:type="pct"/>
                  <w:vAlign w:val="top"/>
                </w:tcPr>
                <w:p>
                  <w:r>
                    <w:t xml:space="preserve"> </w:t>
                  </w:r>
                </w:p>
              </w:tc>
              <w:tc>
                <w:tcPr>
                  <w:tcW w:w="150" w:type="pct"/>
                  <w:vAlign w:val="top"/>
                </w:tcPr>
                <w:p>
                  <w:r>
                    <w:t xml:space="preserve"> </w:t>
                  </w:r>
                </w:p>
              </w:tc>
              <w:tc>
                <w:tcPr>
                  <w:tcW w:w="150" w:type="pct"/>
                  <w:vAlign w:val="top"/>
                </w:tcPr>
                <w:p>
                  <w:r>
                    <w:t xml:space="preserve"> </w:t>
                  </w:r>
                </w:p>
              </w:tc>
              <w:tc>
                <w:tcPr>
                  <w:tcW w:w="150" w:type="pct"/>
                  <w:vAlign w:val="top"/>
                </w:tcPr>
                <w:p>
                  <w:r>
                    <w:t xml:space="preserve"> </w:t>
                  </w:r>
                </w:p>
              </w:tc>
              <w:tc>
                <w:tcPr>
                  <w:tcW w:w="150" w:type="pct"/>
                  <w:vAlign w:val="top"/>
                </w:tcPr>
                <w:p>
                  <w:r>
                    <w:t xml:space="preserve"> </w:t>
                  </w:r>
                </w:p>
              </w:tc>
              <w:tc>
                <w:tcPr>
                  <w:tcW w:w="150" w:type="pct"/>
                  <w:vAlign w:val="top"/>
                </w:tcPr>
                <w:p>
                  <w:r>
                    <w:t xml:space="preserve"> </w:t>
                  </w:r>
                </w:p>
              </w:tc>
              <w:tc>
                <w:tcPr>
                  <w:tcW w:w="150" w:type="pct"/>
                  <w:vAlign w:val="top"/>
                </w:tcPr>
                <w:p>
                  <w:r>
                    <w:t xml:space="preserve"> </w:t>
                  </w:r>
                </w:p>
              </w:tc>
              <w:tc>
                <w:tcPr>
                  <w:tcW w:w="150" w:type="pct"/>
                  <w:vAlign w:val="top"/>
                </w:tcPr>
                <w:p>
                  <w:r>
                    <w:t xml:space="preserve"> </w:t>
                  </w:r>
                </w:p>
              </w:tc>
              <w:tc>
                <w:tcPr>
                  <w:tcW w:w="150" w:type="pct"/>
                  <w:vAlign w:val="top"/>
                </w:tcPr>
                <w:p>
                  <w:r>
                    <w:t xml:space="preserve"> </w:t>
                  </w:r>
                </w:p>
              </w:tc>
              <w:tc>
                <w:tcPr>
                  <w:tcW w:w="150" w:type="pct"/>
                  <w:vAlign w:val="top"/>
                </w:tcPr>
                <w:p>
                  <w:r>
                    <w:t xml:space="preserve"> </w:t>
                  </w:r>
                </w:p>
              </w:tc>
              <w:tc>
                <w:tcPr>
                  <w:tcW w:w="250" w:type="pct"/>
                  <w:vAlign w:val="top"/>
                </w:tcPr>
                <w:p>
                  <w:r>
                    <w:t xml:space="preserve"> </w:t>
                  </w:r>
                </w:p>
              </w:tc>
            </w:tr>
          </w:tbl>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all the accommodation provided to a client during the reporting period (calendar month).</w:t>
            </w:r>
            <w:r>
              <w:br/>
            </w:r>
            <w:r>
              <w:rPr>
                <w:rStyle w:val="row-content-rich-text"/>
              </w:rPr>
              <w:t xml:space="preserve">Only one type of accommodation should be recorded per client for each night. If a client is marked down as staying in two different types of accommodation for the same date, it will be recorded as an error.</w:t>
            </w:r>
            <w:r>
              <w:br/>
            </w:r>
            <w:r>
              <w:rPr>
                <w:rStyle w:val="row-content-rich-text"/>
              </w:rPr>
              <w:t xml:space="preserve">If a client receives accommodation for the whole collection month, the first day of the month should be recorded as the start date, and the last valid calendar day for that month should be recorded as the end date.</w:t>
            </w:r>
            <w:r>
              <w:br/>
            </w:r>
            <w:r>
              <w:rPr>
                <w:rStyle w:val="row-content-rich-text"/>
              </w:rPr>
              <w:t xml:space="preserve">A separate period of accommodation should be recorded if the accommodation type changes during the reporting period — for example, if the client moves from short-term accommodation to long-term accommodation, then two accommodation periods are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c657dd5bd944580">
              <w:r>
                <w:rPr>
                  <w:rStyle w:val="Hyperlink"/>
                </w:rPr>
                <w:t xml:space="preserve">Specialist Homelessness Services accommodation type and start/end date cluster</w:t>
              </w:r>
            </w:hyperlink>
          </w:p>
          <w:p>
            <w:pPr>
              <w:pStyle w:val="registration-status"/>
              <w:spacing w:before="0" w:after="0"/>
            </w:pPr>
            <w:hyperlink w:history="true" r:id="Raa5a7c30acf34e2d">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ead928a303374e9b">
              <w:r>
                <w:rPr>
                  <w:rStyle w:val="Hyperlink"/>
                  <w:color w:val="244061"/>
                </w:rPr>
                <w:t xml:space="preserve">Housing assistance</w:t>
              </w:r>
            </w:hyperlink>
            <w:r>
              <w:rPr>
                <w:rStyle w:val="row-content"/>
                <w:color w:val="244061"/>
              </w:rPr>
              <w:t xml:space="preserve">, Standard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38b440a785d4fba">
              <w:r>
                <w:rPr>
                  <w:rStyle w:val="Hyperlink"/>
                </w:rPr>
                <w:t xml:space="preserve">Specialist Homelessness Services NMDS 2019-</w:t>
              </w:r>
            </w:hyperlink>
          </w:p>
          <w:p>
            <w:pPr>
              <w:pStyle w:val="registration-status"/>
              <w:spacing w:before="0" w:after="0"/>
            </w:pPr>
            <w:hyperlink w:history="true" r:id="Rab06b959830e4212">
              <w:r>
                <w:rPr>
                  <w:rStyle w:val="Hyperlink"/>
                  <w:color w:val="244061"/>
                </w:rPr>
                <w:t xml:space="preserve">Homelessness</w:t>
              </w:r>
            </w:hyperlink>
            <w:r>
              <w:rPr>
                <w:rStyle w:val="row-content"/>
                <w:color w:val="244061"/>
              </w:rPr>
              <w:t xml:space="preserve">, Standard 10/08/2018</w:t>
            </w:r>
          </w:p>
          <w:p>
            <w:r>
              <w:rPr>
                <w:rStyle w:val="row-content"/>
                <w:b/>
                <w:i/>
              </w:rPr>
              <w:t xml:space="preserve">Conditional obligation: </w:t>
            </w:r>
          </w:p>
          <w:p>
            <w:r>
              <w:rPr>
                <w:rStyle w:val="row-content"/>
              </w:rPr>
              <w:t xml:space="preserve">In the Specialist Homelessness Services NMDS, this item is only asked of clients.</w:t>
            </w:r>
          </w:p>
          <w:p>
            <w:r>
              <w:br/>
            </w:r>
            <w:r>
              <w:rPr>
                <w:rStyle w:val="row-content"/>
                <w:b/>
                <w:i/>
              </w:rPr>
              <w:t xml:space="preserve">DSS specific information: </w:t>
            </w:r>
          </w:p>
          <w:p>
            <w:r>
              <w:rPr>
                <w:rStyle w:val="row-content"/>
              </w:rPr>
              <w:t xml:space="preserve">Clients may have start and end dates for each of the accommodation types provided during the collection month.</w:t>
            </w:r>
          </w:p>
          <w:p>
            <w:r>
              <w:rPr>
                <w:rStyle w:val="row-content"/>
              </w:rPr>
              <w:t xml:space="preserve">Multiple accommodation types, start dates and end dates may be entered. In a month of 31 days, up to 16 accommodation types, and related start dates or end dates are possible. The dates selected should be valid for the collection month (i.e. September the 30th is a valid date, but the 31st is not a valid date).</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aae8058346f84212">
                    <w:r>
                      <w:rPr>
                        <w:rStyle w:val="Hyperlink"/>
                      </w:rPr>
                      <w:t xml:space="preserve">Service event—supported accommodation type, code N</w:t>
                    </w:r>
                  </w:hyperlink>
                </w:p>
                <w:p>
                  <w:r>
                    <w:rPr>
                      <w:b/>
                      <w:i/>
                      <w:color w:val="333333"/>
                    </w:rPr>
                    <w:t xml:space="preserve">DSS specific information:</w:t>
                  </w:r>
                </w:p>
                <w:p>
                  <w:r>
                    <w:t xml:space="preserve">In the SHS NMDS, the accommodation type Other supported accommodation (CODE 4) is not a valid permissible value.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d5e9f57463dd4443">
                    <w:r>
                      <w:rPr>
                        <w:rStyle w:val="Hyperlink"/>
                      </w:rPr>
                      <w:t xml:space="preserve">Service event—accommodation period start date, DDMMYYYY</w:t>
                    </w:r>
                  </w:hyperlink>
                </w:p>
                <w:p>
                  <w:r>
                    <w:rPr>
                      <w:b/>
                      <w:i/>
                      <w:color w:val="333333"/>
                    </w:rPr>
                    <w:t xml:space="preserve">DSS specific information:</w:t>
                  </w:r>
                </w:p>
                <w:p>
                  <w:r>
                    <w:t xml:space="preserve">In the SHS NMDS accommodation end date may be asked for three types of accommodation: 1) Short term or emergency, 2) Medium term or transitional, and 3) Long term.</w:t>
                  </w:r>
                </w:p>
                <w:p>
                  <w:r>
                    <w:t xml:space="preserve">Clients may have breaks in accommodation, or shift between different types of accommodation. Clients may have multiple start and end dates for the various types of accommodation.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74929b020e8c46c5">
                    <w:r>
                      <w:rPr>
                        <w:rStyle w:val="Hyperlink"/>
                      </w:rPr>
                      <w:t xml:space="preserve">Service event—accommodation period end date, DDMMYYYY</w:t>
                    </w:r>
                  </w:hyperlink>
                </w:p>
                <w:p>
                  <w:r>
                    <w:rPr>
                      <w:b/>
                      <w:i/>
                      <w:color w:val="333333"/>
                    </w:rPr>
                    <w:t xml:space="preserve">DSS specific information:</w:t>
                  </w:r>
                </w:p>
                <w:p>
                  <w:r>
                    <w:t xml:space="preserve">In the SHS NMDS accommodation end date may be asked for three types of accommodation: 1) Short term or emergency, 2) Medium term or transitional, and 3) Long term.</w:t>
                  </w:r>
                </w:p>
                <w:p>
                  <w:r>
                    <w:t xml:space="preserve">Clients may have breaks in accommodation, or shift between different types of accommodation. Clients may have multiple start and end dates for the various types of accommodation.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53034a1777614f7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689319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ccc5b0562cc412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3034a1777614f79" /><Relationship Type="http://schemas.openxmlformats.org/officeDocument/2006/relationships/header" Target="/word/header1.xml" Id="R161da0f72cb14552" /><Relationship Type="http://schemas.openxmlformats.org/officeDocument/2006/relationships/settings" Target="/word/settings.xml" Id="R5cf1a652d6884517" /><Relationship Type="http://schemas.openxmlformats.org/officeDocument/2006/relationships/styles" Target="/word/styles.xml" Id="R7ccff1db7ebc43ec" /><Relationship Type="http://schemas.openxmlformats.org/officeDocument/2006/relationships/numbering" Target="/word/numbering.xml" Id="R30a184acb7334071" /><Relationship Type="http://schemas.openxmlformats.org/officeDocument/2006/relationships/hyperlink" Target="https://meteor-uat.aihw.gov.au/RegistrationAuthority/16" TargetMode="External" Id="R02681cc87a484ca3" /><Relationship Type="http://schemas.openxmlformats.org/officeDocument/2006/relationships/hyperlink" Target="https://meteor-uat.aihw.gov.au/content/508932" TargetMode="External" Id="R8c657dd5bd944580" /><Relationship Type="http://schemas.openxmlformats.org/officeDocument/2006/relationships/hyperlink" Target="https://meteor-uat.aihw.gov.au/RegistrationAuthority/16" TargetMode="External" Id="Raa5a7c30acf34e2d" /><Relationship Type="http://schemas.openxmlformats.org/officeDocument/2006/relationships/hyperlink" Target="https://meteor-uat.aihw.gov.au/RegistrationAuthority/13" TargetMode="External" Id="Read928a303374e9b" /><Relationship Type="http://schemas.openxmlformats.org/officeDocument/2006/relationships/hyperlink" Target="https://meteor-uat.aihw.gov.au/content/689064" TargetMode="External" Id="R638b440a785d4fba" /><Relationship Type="http://schemas.openxmlformats.org/officeDocument/2006/relationships/hyperlink" Target="https://meteor-uat.aihw.gov.au/RegistrationAuthority/16" TargetMode="External" Id="Rab06b959830e4212" /><Relationship Type="http://schemas.openxmlformats.org/officeDocument/2006/relationships/hyperlink" Target="https://meteor-uat.aihw.gov.au/content/691573" TargetMode="External" Id="Raae8058346f84212" /><Relationship Type="http://schemas.openxmlformats.org/officeDocument/2006/relationships/hyperlink" Target="https://meteor-uat.aihw.gov.au/content/691810" TargetMode="External" Id="Rd5e9f57463dd4443" /><Relationship Type="http://schemas.openxmlformats.org/officeDocument/2006/relationships/hyperlink" Target="https://meteor-uat.aihw.gov.au/content/691796" TargetMode="External" Id="R74929b020e8c46c5" /></Relationships>
</file>

<file path=word/_rels/header1.xml.rels>&#65279;<?xml version="1.0" encoding="utf-8"?><Relationships xmlns="http://schemas.openxmlformats.org/package/2006/relationships"><Relationship Type="http://schemas.openxmlformats.org/officeDocument/2006/relationships/image" Target="/media/image.png" Id="Rcccc5b0562cc412f" /></Relationships>
</file>