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b5f9b4b0aa498a"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b3812cbc4794436d">
                    <w:r>
                      <w:rPr>
                        <w:rStyle w:val="Hyperlink"/>
                      </w:rPr>
                      <w:t xml:space="preserve">Child protection person identifier</w:t>
                    </w:r>
                  </w:hyperlink>
                </w:p>
              </w:tc>
              <w:tc>
                <w:tcPr>
                  <w:vAlign w:val="top"/>
                </w:tcPr>
                <w:p>
                  <w:r>
                    <w:t xml:space="preserve">459397</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2</w:t>
                  </w:r>
                </w:p>
              </w:tc>
              <w:tc>
                <w:tcPr>
                  <w:tcMar/>
                  <w:vAlign w:val="top"/>
                </w:tcPr>
                <w:p>
                  <w:hyperlink w:history="true" r:id="Rf7eace2ee56147c7">
                    <w:r>
                      <w:rPr>
                        <w:rStyle w:val="Hyperlink"/>
                      </w:rPr>
                      <w:t xml:space="preserve">Notification date</w:t>
                    </w:r>
                  </w:hyperlink>
                </w:p>
              </w:tc>
              <w:tc>
                <w:tcPr>
                  <w:vAlign w:val="top"/>
                </w:tcPr>
                <w:p>
                  <w:r>
                    <w:t xml:space="preserve">455248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3</w:t>
                  </w:r>
                </w:p>
              </w:tc>
              <w:tc>
                <w:tcPr>
                  <w:tcMar/>
                  <w:vAlign w:val="top"/>
                </w:tcPr>
                <w:p>
                  <w:hyperlink w:history="true" r:id="Rf3f1864e503643b0">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4</w:t>
                  </w:r>
                </w:p>
              </w:tc>
              <w:tc>
                <w:tcPr>
                  <w:tcMar/>
                  <w:vAlign w:val="top"/>
                </w:tcPr>
                <w:p>
                  <w:hyperlink w:history="true" r:id="R279d4e56277f43b5">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5</w:t>
                  </w:r>
                </w:p>
              </w:tc>
              <w:tc>
                <w:tcPr>
                  <w:tcMar/>
                  <w:vAlign w:val="top"/>
                </w:tcPr>
                <w:p>
                  <w:hyperlink w:history="true" r:id="R5c8367ac324e4b55">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6</w:t>
                  </w:r>
                </w:p>
              </w:tc>
              <w:tc>
                <w:tcPr>
                  <w:tcMar/>
                  <w:vAlign w:val="top"/>
                </w:tcPr>
                <w:p>
                  <w:hyperlink w:history="true" r:id="R1f5760837d414226">
                    <w:r>
                      <w:rPr>
                        <w:rStyle w:val="Hyperlink"/>
                      </w:rPr>
                      <w:t xml:space="preserve">Statistical area level 2 (SA2)</w:t>
                    </w:r>
                  </w:hyperlink>
                </w:p>
              </w:tc>
              <w:tc>
                <w:tcPr>
                  <w:vAlign w:val="top"/>
                </w:tcPr>
                <w:p>
                  <w:r>
                    <w:t xml:space="preserve">457289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7</w:t>
                  </w:r>
                </w:p>
              </w:tc>
              <w:tc>
                <w:tcPr>
                  <w:tcMar/>
                  <w:vAlign w:val="top"/>
                </w:tcPr>
                <w:p>
                  <w:hyperlink w:history="true" r:id="R9aa4b86f2edf48e9">
                    <w:r>
                      <w:rPr>
                        <w:rStyle w:val="Hyperlink"/>
                      </w:rPr>
                      <w:t xml:space="preserve">Source of notification</w:t>
                    </w:r>
                  </w:hyperlink>
                </w:p>
              </w:tc>
              <w:tc>
                <w:tcPr>
                  <w:vAlign w:val="top"/>
                </w:tcPr>
                <w:p>
                  <w:r>
                    <w:t xml:space="preserve">655834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Subject child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Parent/guardian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Sibling/Other relative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Friend/neighbour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health personnel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Hospital/health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Social worker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School personnel</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Child care personnel</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Police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Departmental officer</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Non-government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Anonymous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c9db3eef688d4043">
                    <w:r>
                      <w:rPr>
                        <w:rStyle w:val="Hyperlink"/>
                      </w:rPr>
                      <w:t xml:space="preserve">Notification course of action</w:t>
                    </w:r>
                  </w:hyperlink>
                </w:p>
              </w:tc>
              <w:tc>
                <w:tcPr>
                  <w:vAlign w:val="top"/>
                </w:tcPr>
                <w:p>
                  <w:r>
                    <w:t xml:space="preserve">455327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Investigation required and commenced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Investigation required but not yet commenced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intervention required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 further action/no issue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Advice/referral to another agency required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Assessment decision in process</w:t>
                        </w:r>
                      </w:p>
                    </w:tc>
                  </w:tr>
                </w:tbl>
                <w:p/>
              </w:tc>
            </w:tr>
            <w:tr>
              <w:trPr/>
              <w:tc>
                <w:tcPr>
                  <w:tcMar>
                    <w:right w:w="29" w:type="dxa"/>
                  </w:tcMar>
                  <w:vAlign w:val="top"/>
                </w:tcPr>
                <w:p>
                  <w:pPr>
                    <w:keepNext/>
                    <w:jc w:val="center"/>
                  </w:pPr>
                  <w:r>
                    <w:t xml:space="preserve">9</w:t>
                  </w:r>
                </w:p>
              </w:tc>
              <w:tc>
                <w:tcPr>
                  <w:tcMar/>
                  <w:vAlign w:val="top"/>
                </w:tcPr>
                <w:p>
                  <w:hyperlink w:history="true" r:id="Rb9909da38a254aab">
                    <w:r>
                      <w:rPr>
                        <w:rStyle w:val="Hyperlink"/>
                      </w:rPr>
                      <w:t xml:space="preserve">Course of action decision date</w:t>
                    </w:r>
                  </w:hyperlink>
                </w:p>
              </w:tc>
              <w:tc>
                <w:tcPr>
                  <w:vAlign w:val="top"/>
                </w:tcPr>
                <w:p>
                  <w:r>
                    <w:t xml:space="preserve">455338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10</w:t>
                  </w:r>
                </w:p>
              </w:tc>
              <w:tc>
                <w:tcPr>
                  <w:tcMar/>
                  <w:vAlign w:val="top"/>
                </w:tcPr>
                <w:p>
                  <w:hyperlink w:history="true" r:id="R49cd37dd552c4279">
                    <w:r>
                      <w:rPr>
                        <w:rStyle w:val="Hyperlink"/>
                      </w:rPr>
                      <w:t xml:space="preserve">Investigation commencement date (child protection)</w:t>
                    </w:r>
                  </w:hyperlink>
                </w:p>
              </w:tc>
              <w:tc>
                <w:tcPr>
                  <w:vAlign w:val="top"/>
                </w:tcPr>
                <w:p>
                  <w:r>
                    <w:t xml:space="preserve">455361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11</w:t>
                  </w:r>
                </w:p>
              </w:tc>
              <w:tc>
                <w:tcPr>
                  <w:tcMar/>
                  <w:vAlign w:val="top"/>
                </w:tcPr>
                <w:p>
                  <w:hyperlink w:history="true" r:id="R3e724e3b85cd4f05">
                    <w:r>
                      <w:rPr>
                        <w:rStyle w:val="Hyperlink"/>
                      </w:rPr>
                      <w:t xml:space="preserve">Investigation conclusion date (child protection notification)</w:t>
                    </w:r>
                  </w:hyperlink>
                </w:p>
              </w:tc>
              <w:tc>
                <w:tcPr>
                  <w:vAlign w:val="top"/>
                </w:tcPr>
                <w:p>
                  <w:r>
                    <w:t xml:space="preserve">456528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12</w:t>
                  </w:r>
                </w:p>
              </w:tc>
              <w:tc>
                <w:tcPr>
                  <w:tcMar/>
                  <w:vAlign w:val="top"/>
                </w:tcPr>
                <w:p>
                  <w:hyperlink w:history="true" r:id="Rce958fa0e1784ee1">
                    <w:r>
                      <w:rPr>
                        <w:rStyle w:val="Hyperlink"/>
                      </w:rPr>
                      <w:t xml:space="preserve">Investigation status (child protection)</w:t>
                    </w:r>
                  </w:hyperlink>
                </w:p>
              </w:tc>
              <w:tc>
                <w:tcPr>
                  <w:vAlign w:val="top"/>
                </w:tcPr>
                <w:p>
                  <w:r>
                    <w:t xml:space="preserve">455404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Substantiated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substantiated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Investigation in process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Investigation closed - no outcome possible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13</w:t>
                  </w:r>
                </w:p>
              </w:tc>
              <w:tc>
                <w:tcPr>
                  <w:tcMar/>
                  <w:vAlign w:val="top"/>
                </w:tcPr>
                <w:p>
                  <w:hyperlink w:history="true" r:id="R9aa09bc06ecf43bf">
                    <w:r>
                      <w:rPr>
                        <w:rStyle w:val="Hyperlink"/>
                      </w:rPr>
                      <w:t xml:space="preserve">Household parental care type (child protection)</w:t>
                    </w:r>
                  </w:hyperlink>
                </w:p>
              </w:tc>
              <w:tc>
                <w:tcPr>
                  <w:vAlign w:val="top"/>
                </w:tcPr>
                <w:p>
                  <w:r>
                    <w:t xml:space="preserve">455803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Two parent— natural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Two parent—step or blended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One parent—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One parent— male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relatives/kin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Foster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14</w:t>
                  </w:r>
                </w:p>
              </w:tc>
              <w:tc>
                <w:tcPr>
                  <w:tcMar/>
                  <w:vAlign w:val="top"/>
                </w:tcPr>
                <w:p>
                  <w:hyperlink w:history="true" r:id="Radf8f67243cb4754">
                    <w:r>
                      <w:rPr>
                        <w:rStyle w:val="Hyperlink"/>
                      </w:rPr>
                      <w:t xml:space="preserve">Primary type of abuse or neglect (child protection)</w:t>
                    </w:r>
                  </w:hyperlink>
                </w:p>
              </w:tc>
              <w:tc>
                <w:tcPr>
                  <w:vAlign w:val="top"/>
                </w:tcPr>
                <w:p>
                  <w:r>
                    <w:t xml:space="preserve">455487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Physical abuse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Sexual abuse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Emotional abuse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Neglect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15</w:t>
                  </w:r>
                </w:p>
              </w:tc>
              <w:tc>
                <w:tcPr>
                  <w:tcMar/>
                  <w:vAlign w:val="top"/>
                </w:tcPr>
                <w:p>
                  <w:hyperlink w:history="true" r:id="R59c81a6321ea4854">
                    <w:r>
                      <w:rPr>
                        <w:rStyle w:val="Hyperlink"/>
                      </w:rPr>
                      <w:t xml:space="preserve">Other type of abuse or neglect (child protection)</w:t>
                    </w:r>
                  </w:hyperlink>
                </w:p>
              </w:tc>
              <w:tc>
                <w:tcPr>
                  <w:vAlign w:val="top"/>
                </w:tcPr>
                <w:p>
                  <w:r>
                    <w:t xml:space="preserve">455510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Physical abuse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Sexual abuse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Emotional abuse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Neglect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e11ae1781905490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f91f87f1d24e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1ae1781905490c" /><Relationship Type="http://schemas.openxmlformats.org/officeDocument/2006/relationships/header" Target="/word/header1.xml" Id="R3fd2a4c7f8be486e" /><Relationship Type="http://schemas.openxmlformats.org/officeDocument/2006/relationships/settings" Target="/word/settings.xml" Id="Re15c3b3dd31e45f0" /><Relationship Type="http://schemas.openxmlformats.org/officeDocument/2006/relationships/styles" Target="/word/styles.xml" Id="Rda5a124761094832" /><Relationship Type="http://schemas.openxmlformats.org/officeDocument/2006/relationships/hyperlink" Target="https://meteor-uat.aihw.gov.au/content/459397" TargetMode="External" Id="Rb3812cbc4794436d" /><Relationship Type="http://schemas.openxmlformats.org/officeDocument/2006/relationships/hyperlink" Target="https://meteor-uat.aihw.gov.au/content/455248" TargetMode="External" Id="Rf7eace2ee56147c7" /><Relationship Type="http://schemas.openxmlformats.org/officeDocument/2006/relationships/hyperlink" Target="https://meteor-uat.aihw.gov.au/content/286919" TargetMode="External" Id="Rf3f1864e503643b0" /><Relationship Type="http://schemas.openxmlformats.org/officeDocument/2006/relationships/hyperlink" Target="https://meteor-uat.aihw.gov.au/content/429889" TargetMode="External" Id="R279d4e56277f43b5" /><Relationship Type="http://schemas.openxmlformats.org/officeDocument/2006/relationships/hyperlink" Target="https://meteor-uat.aihw.gov.au/content/429894" TargetMode="External" Id="R5c8367ac324e4b55" /><Relationship Type="http://schemas.openxmlformats.org/officeDocument/2006/relationships/hyperlink" Target="https://meteor-uat.aihw.gov.au/content/457289" TargetMode="External" Id="R1f5760837d414226" /><Relationship Type="http://schemas.openxmlformats.org/officeDocument/2006/relationships/hyperlink" Target="https://meteor-uat.aihw.gov.au/content/655834" TargetMode="External" Id="R9aa4b86f2edf48e9" /><Relationship Type="http://schemas.openxmlformats.org/officeDocument/2006/relationships/hyperlink" Target="https://meteor-uat.aihw.gov.au/content/455327" TargetMode="External" Id="Rc9db3eef688d4043" /><Relationship Type="http://schemas.openxmlformats.org/officeDocument/2006/relationships/hyperlink" Target="https://meteor-uat.aihw.gov.au/content/455338" TargetMode="External" Id="Rb9909da38a254aab" /><Relationship Type="http://schemas.openxmlformats.org/officeDocument/2006/relationships/hyperlink" Target="https://meteor-uat.aihw.gov.au/content/455361" TargetMode="External" Id="R49cd37dd552c4279" /><Relationship Type="http://schemas.openxmlformats.org/officeDocument/2006/relationships/hyperlink" Target="https://meteor-uat.aihw.gov.au/content/456528" TargetMode="External" Id="R3e724e3b85cd4f05" /><Relationship Type="http://schemas.openxmlformats.org/officeDocument/2006/relationships/hyperlink" Target="https://meteor-uat.aihw.gov.au/content/455404" TargetMode="External" Id="Rce958fa0e1784ee1" /><Relationship Type="http://schemas.openxmlformats.org/officeDocument/2006/relationships/hyperlink" Target="https://meteor-uat.aihw.gov.au/content/455803" TargetMode="External" Id="R9aa09bc06ecf43bf" /><Relationship Type="http://schemas.openxmlformats.org/officeDocument/2006/relationships/hyperlink" Target="https://meteor-uat.aihw.gov.au/content/455487" TargetMode="External" Id="Radf8f67243cb4754" /><Relationship Type="http://schemas.openxmlformats.org/officeDocument/2006/relationships/hyperlink" Target="https://meteor-uat.aihw.gov.au/content/455510" TargetMode="External" Id="R59c81a6321ea4854" /></Relationships>
</file>

<file path=word/_rels/header1.xml.rels>&#65279;<?xml version="1.0" encoding="utf-8"?><Relationships xmlns="http://schemas.openxmlformats.org/package/2006/relationships"><Relationship Type="http://schemas.openxmlformats.org/officeDocument/2006/relationships/image" Target="/media/image.png" Id="Rcdf91f87f1d24e12" /></Relationships>
</file>