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27715e590e49f7"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2018-19</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941c8ed0ca8b4905">
                    <w:r>
                      <w:rPr>
                        <w:rStyle w:val="Hyperlink"/>
                      </w:rPr>
                      <w:t xml:space="preserve">Statistical linkage key 581 cluster</w:t>
                    </w:r>
                  </w:hyperlink>
                </w:p>
              </w:tc>
              <w:tc>
                <w:tcPr>
                  <w:vAlign w:val="top"/>
                </w:tcPr>
                <w:p>
                  <w:r>
                    <w:t xml:space="preserve">686238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647f520f6e0a4c04">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2</w:t>
                  </w:r>
                </w:p>
              </w:tc>
              <w:tc>
                <w:tcPr>
                  <w:tcMar>
                    <w:left w:w="225" w:type="dxa"/>
                  </w:tcMar>
                  <w:vAlign w:val="top"/>
                </w:tcPr>
                <w:p>
                  <w:hyperlink w:history="true" r:id="R8cbccf65f2954973">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5b3f39bbdd114a79">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225" w:type="dxa"/>
                  </w:tcMar>
                  <w:vAlign w:val="top"/>
                </w:tcPr>
                <w:p>
                  <w:hyperlink w:history="true" r:id="R61f6441bfc0748b9">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cdb9f330cd6044f7">
                    <w:r>
                      <w:rPr>
                        <w:rStyle w:val="Hyperlink"/>
                      </w:rPr>
                      <w:t xml:space="preserve">Statistical linkage key 581</w:t>
                    </w:r>
                  </w:hyperlink>
                </w:p>
              </w:tc>
              <w:tc>
                <w:tcPr>
                  <w:vAlign w:val="top"/>
                </w:tcPr>
                <w:p>
                  <w:r>
                    <w:t xml:space="preserve">686241</w:t>
                  </w:r>
                </w:p>
              </w:tc>
              <w:tc>
                <w:tcPr>
                  <w:vAlign w:val="top"/>
                </w:tcPr>
                <w:p>
                  <w:r>
                    <w:t xml:space="preserve">String
[14]</w:t>
                  </w:r>
                </w:p>
              </w:tc>
              <w:tc>
                <w:tcPr>
                  <w:vAlign w:val="top"/>
                </w:tcPr>
                <w:p>
                  <w:r>
                    <w:t xml:space="preserve">XXXXXDDMMYYYYX</w:t>
                  </w:r>
                  <w:r>
                    <w:br/>
                  </w:r>
                </w:p>
                <w:p>
                  <w:r>
                    <w:t xml:space="preserve">A combination of the second, third and fifth alphanumeric characters of a person's family name, the second and third alphanumeric characters of a person's given name, a date in the format DDMMYYYY and a single alphanumeric character representing the sex of a person.</w:t>
                  </w:r>
                </w:p>
              </w:tc>
            </w:tr>
            <w:tr>
              <w:trPr/>
              <w:tc>
                <w:tcPr>
                  <w:tcMar>
                    <w:right w:w="29" w:type="dxa"/>
                  </w:tcMar>
                  <w:vAlign w:val="top"/>
                </w:tcPr>
                <w:p>
                  <w:pPr>
                    <w:keepNext/>
                    <w:jc w:val="center"/>
                  </w:pPr>
                  <w:r>
                    <w:t xml:space="preserve">      6</w:t>
                  </w:r>
                </w:p>
              </w:tc>
              <w:tc>
                <w:tcPr>
                  <w:tcMar>
                    <w:left w:w="225" w:type="dxa"/>
                  </w:tcMar>
                  <w:vAlign w:val="top"/>
                </w:tcPr>
                <w:p>
                  <w:hyperlink w:history="true" r:id="R0dbde9d9e53545f8">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w:t>
                  </w:r>
                </w:p>
              </w:tc>
              <w:tc>
                <w:tcPr>
                  <w:tcMar/>
                  <w:vAlign w:val="top"/>
                </w:tcPr>
                <w:p>
                  <w:hyperlink w:history="true" r:id="Re02661a759104194">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0863748fa9d4343">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c4698420b4ea4f26">
                    <w:r>
                      <w:rPr>
                        <w:rStyle w:val="Hyperlink"/>
                      </w:rPr>
                      <w:t xml:space="preserve">Injecting drug use status</w:t>
                    </w:r>
                  </w:hyperlink>
                </w:p>
              </w:tc>
              <w:tc>
                <w:tcPr>
                  <w:vAlign w:val="top"/>
                </w:tcPr>
                <w:p>
                  <w:r>
                    <w:t xml:space="preserve">270113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Last injected three months ago or 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Last injected more than three months ago but less than or equal to twelve months ago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Last injected more than twelve months ago</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Never injected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9f2eeb2bee44f4a">
                    <w:r>
                      <w:rPr>
                        <w:rStyle w:val="Hyperlink"/>
                      </w:rPr>
                      <w:t xml:space="preserve">Method of use for principal drug of concern</w:t>
                    </w:r>
                  </w:hyperlink>
                </w:p>
              </w:tc>
              <w:tc>
                <w:tcPr>
                  <w:vAlign w:val="top"/>
                </w:tcPr>
                <w:p>
                  <w:r>
                    <w:t xml:space="preserve">270111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Ingests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Smokes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Injects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Sniffs (powder)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Inhales (vapour)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6d2d4357ad54c70">
                    <w:r>
                      <w:rPr>
                        <w:rStyle w:val="Hyperlink"/>
                      </w:rPr>
                      <w:t xml:space="preserve">Reason for cessation of treatment episode for alcohol and other drugs</w:t>
                    </w:r>
                  </w:hyperlink>
                </w:p>
              </w:tc>
              <w:tc>
                <w:tcPr>
                  <w:vAlign w:val="top"/>
                </w:tcPr>
                <w:p>
                  <w:r>
                    <w:t xml:space="preserve">270011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Treatment completed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Change in main treatment type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Change in the delivery setting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Change in the principal drug of concern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Transferred to another service provider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Ceased to participate against advice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Ceased to participate without notice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Ceased to participate involuntary (non-compliance)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Ceased to participate at expiation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Ceased to participate by mutual agreement</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Drug court and /or sanctioned by court diversion service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Imprisoned, other than drug court sanctioned</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8a3b12811d84b6d">
                    <w:r>
                      <w:rPr>
                        <w:rStyle w:val="Hyperlink"/>
                      </w:rPr>
                      <w:t xml:space="preserve">Client type (alcohol and other drug treatment services)</w:t>
                    </w:r>
                  </w:hyperlink>
                </w:p>
              </w:tc>
              <w:tc>
                <w:tcPr>
                  <w:vAlign w:val="top"/>
                </w:tcPr>
                <w:p>
                  <w:r>
                    <w:t xml:space="preserve">270083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Own alcohol or other drug use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Other's alcohol or other drug use</w:t>
                        </w:r>
                      </w:p>
                    </w:tc>
                  </w:tr>
                </w:tbl>
                <w:p/>
              </w:tc>
            </w:tr>
            <w:tr>
              <w:trPr/>
              <w:tc>
                <w:tcPr>
                  <w:tcMar>
                    <w:right w:w="29" w:type="dxa"/>
                  </w:tcMar>
                  <w:vAlign w:val="top"/>
                </w:tcPr>
                <w:p>
                  <w:pPr>
                    <w:keepNext/>
                    <w:jc w:val="center"/>
                  </w:pPr>
                  <w:r>
                    <w:t xml:space="preserve">-</w:t>
                  </w:r>
                </w:p>
              </w:tc>
              <w:tc>
                <w:tcPr>
                  <w:tcMar/>
                  <w:vAlign w:val="top"/>
                </w:tcPr>
                <w:p>
                  <w:hyperlink w:history="true" r:id="R32000866774941b7">
                    <w:r>
                      <w:rPr>
                        <w:rStyle w:val="Hyperlink"/>
                      </w:rPr>
                      <w:t xml:space="preserve">Other drug of concern</w:t>
                    </w:r>
                  </w:hyperlink>
                </w:p>
              </w:tc>
              <w:tc>
                <w:tcPr>
                  <w:vAlign w:val="top"/>
                </w:tcPr>
                <w:p>
                  <w:r>
                    <w:t xml:space="preserve">467579</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0005 </w:t>
                        </w:r>
                      </w:p>
                    </w:tc>
                    <w:tc>
                      <w:tcPr>
                        <w:tcBorders>
                          <w:top w:val="none" w:color="000000" w:sz="0"/>
                          <w:left w:val="none" w:color="000000" w:sz="0"/>
                          <w:bottom w:val="none" w:color="000000" w:sz="0"/>
                          <w:right w:val="none" w:color="000000" w:sz="0"/>
                        </w:tcBorders>
                        <w:tcMar/>
                        <w:vAlign w:val="top"/>
                      </w:tcPr>
                      <w:p>
                        <w:r>
                          <w:t xml:space="preserve">Opioid analgesics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0006 </w:t>
                        </w:r>
                      </w:p>
                    </w:tc>
                    <w:tc>
                      <w:tcPr>
                        <w:tcBorders>
                          <w:top w:val="none" w:color="000000" w:sz="0"/>
                          <w:left w:val="none" w:color="000000" w:sz="0"/>
                          <w:bottom w:val="none" w:color="000000" w:sz="0"/>
                          <w:right w:val="none" w:color="000000" w:sz="0"/>
                        </w:tcBorders>
                        <w:tcMar/>
                        <w:vAlign w:val="top"/>
                      </w:tcPr>
                      <w:p>
                        <w:r>
                          <w:t xml:space="preserve">Psychostimulants not further defined</w:t>
                        </w:r>
                      </w:p>
                    </w:tc>
                  </w:tr>
                </w:tbl>
                <w:p/>
              </w:tc>
            </w:tr>
            <w:tr>
              <w:trPr/>
              <w:tc>
                <w:tcPr>
                  <w:tcMar>
                    <w:right w:w="29" w:type="dxa"/>
                  </w:tcMar>
                  <w:vAlign w:val="top"/>
                </w:tcPr>
                <w:p>
                  <w:pPr>
                    <w:keepNext/>
                    <w:jc w:val="center"/>
                  </w:pPr>
                  <w:r>
                    <w:t xml:space="preserve">-</w:t>
                  </w:r>
                </w:p>
              </w:tc>
              <w:tc>
                <w:tcPr>
                  <w:tcMar/>
                  <w:vAlign w:val="top"/>
                </w:tcPr>
                <w:p>
                  <w:hyperlink w:history="true" r:id="R38ba303bd7564769">
                    <w:r>
                      <w:rPr>
                        <w:rStyle w:val="Hyperlink"/>
                      </w:rPr>
                      <w:t xml:space="preserve">Principal drug of concern</w:t>
                    </w:r>
                  </w:hyperlink>
                </w:p>
              </w:tc>
              <w:tc>
                <w:tcPr>
                  <w:vAlign w:val="top"/>
                </w:tcPr>
                <w:p>
                  <w:r>
                    <w:t xml:space="preserve">467699</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0005 </w:t>
                        </w:r>
                      </w:p>
                    </w:tc>
                    <w:tc>
                      <w:tcPr>
                        <w:tcBorders>
                          <w:top w:val="none" w:color="000000" w:sz="0"/>
                          <w:left w:val="none" w:color="000000" w:sz="0"/>
                          <w:bottom w:val="none" w:color="000000" w:sz="0"/>
                          <w:right w:val="none" w:color="000000" w:sz="0"/>
                        </w:tcBorders>
                        <w:tcMar/>
                        <w:vAlign w:val="top"/>
                      </w:tcPr>
                      <w:p>
                        <w:r>
                          <w:t xml:space="preserve">Opioid analgesics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0006 </w:t>
                        </w:r>
                      </w:p>
                    </w:tc>
                    <w:tc>
                      <w:tcPr>
                        <w:tcBorders>
                          <w:top w:val="none" w:color="000000" w:sz="0"/>
                          <w:left w:val="none" w:color="000000" w:sz="0"/>
                          <w:bottom w:val="none" w:color="000000" w:sz="0"/>
                          <w:right w:val="none" w:color="000000" w:sz="0"/>
                        </w:tcBorders>
                        <w:tcMar/>
                        <w:vAlign w:val="top"/>
                      </w:tcPr>
                      <w:p>
                        <w:r>
                          <w:t xml:space="preserve">Psychostimulants not further defined</w:t>
                        </w:r>
                      </w:p>
                    </w:tc>
                  </w:tr>
                </w:tbl>
                <w:p/>
              </w:tc>
            </w:tr>
            <w:tr>
              <w:trPr/>
              <w:tc>
                <w:tcPr>
                  <w:tcMar>
                    <w:right w:w="29" w:type="dxa"/>
                  </w:tcMar>
                  <w:vAlign w:val="top"/>
                </w:tcPr>
                <w:p>
                  <w:pPr>
                    <w:keepNext/>
                    <w:jc w:val="center"/>
                  </w:pPr>
                  <w:r>
                    <w:t xml:space="preserve">-</w:t>
                  </w:r>
                </w:p>
              </w:tc>
              <w:tc>
                <w:tcPr>
                  <w:tcMar/>
                  <w:vAlign w:val="top"/>
                </w:tcPr>
                <w:p>
                  <w:hyperlink w:history="true" r:id="R8a07905f61c2492a">
                    <w:r>
                      <w:rPr>
                        <w:rStyle w:val="Hyperlink"/>
                      </w:rPr>
                      <w:t xml:space="preserve">Source of referral to alcohol and other drug treatment service</w:t>
                    </w:r>
                  </w:hyperlink>
                </w:p>
              </w:tc>
              <w:tc>
                <w:tcPr>
                  <w:vAlign w:val="top"/>
                </w:tcPr>
                <w:p>
                  <w:r>
                    <w:t xml:space="preserve">269946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Self</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Family member/friend</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Mental health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Alcohol and other drug treatment service</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community/health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Correctional service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Police diversion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Court diversion</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a30386ebbbf42ec">
                    <w:r>
                      <w:rPr>
                        <w:rStyle w:val="Hyperlink"/>
                      </w:rPr>
                      <w:t xml:space="preserve">Treatment delivery setting for alcohol and other drugs</w:t>
                    </w:r>
                  </w:hyperlink>
                </w:p>
              </w:tc>
              <w:tc>
                <w:tcPr>
                  <w:vAlign w:val="top"/>
                </w:tcPr>
                <w:p>
                  <w:r>
                    <w:t xml:space="preserve">270068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Non-residential treatment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treatment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Outreach setting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cb0343950b7245a6">
                    <w:r>
                      <w:rPr>
                        <w:rStyle w:val="Hyperlink"/>
                      </w:rPr>
                      <w:t xml:space="preserve">Date of cessation of treatment episode for alcohol and other drugs</w:t>
                    </w:r>
                  </w:hyperlink>
                </w:p>
              </w:tc>
              <w:tc>
                <w:tcPr>
                  <w:vAlign w:val="top"/>
                </w:tcPr>
                <w:p>
                  <w:r>
                    <w:t xml:space="preserve">270067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129f9902bf74bb0">
                    <w:r>
                      <w:rPr>
                        <w:rStyle w:val="Hyperlink"/>
                      </w:rPr>
                      <w:t xml:space="preserve">Date of commencement of treatment episode for alcohol and other drugs</w:t>
                    </w:r>
                  </w:hyperlink>
                </w:p>
              </w:tc>
              <w:tc>
                <w:tcPr>
                  <w:vAlign w:val="top"/>
                </w:tcPr>
                <w:p>
                  <w:r>
                    <w:t xml:space="preserve">270069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c58290f87104230">
                    <w:r>
                      <w:rPr>
                        <w:rStyle w:val="Hyperlink"/>
                      </w:rPr>
                      <w:t xml:space="preserve">Main treatment type for alcohol and other drugs</w:t>
                    </w:r>
                  </w:hyperlink>
                </w:p>
              </w:tc>
              <w:tc>
                <w:tcPr>
                  <w:vAlign w:val="top"/>
                </w:tcPr>
                <w:p>
                  <w:r>
                    <w:t xml:space="preserve">270056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Withdrawal management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Pharmacotherapy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Support and case management only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Information and education only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Assessment only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78d72d9371b34be1">
                    <w:r>
                      <w:rPr>
                        <w:rStyle w:val="Hyperlink"/>
                      </w:rPr>
                      <w:t xml:space="preserve">Other treatment type for alcohol and other drugs</w:t>
                    </w:r>
                  </w:hyperlink>
                </w:p>
              </w:tc>
              <w:tc>
                <w:tcPr>
                  <w:vAlign w:val="top"/>
                </w:tcPr>
                <w:p>
                  <w:r>
                    <w:t xml:space="preserve">270076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Withdrawal management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Pharmacotherapy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e80af520518d4af4">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8719664a9454677">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54d47dfbc2fb4801">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7a763e3fba94d7a">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78b634ec4b4407b">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8e12ea33d4742c2">
                    <w:r>
                      <w:rPr>
                        <w:rStyle w:val="Hyperlink"/>
                      </w:rPr>
                      <w:t xml:space="preserve">Preferred language</w:t>
                    </w:r>
                  </w:hyperlink>
                </w:p>
              </w:tc>
              <w:tc>
                <w:tcPr>
                  <w:vAlign w:val="top"/>
                </w:tcPr>
                <w:p>
                  <w:r>
                    <w:t xml:space="preserve">659407</w:t>
                  </w:r>
                </w:p>
              </w:tc>
              <w:tc>
                <w:tcPr>
                  <w:vAlign w:val="top"/>
                </w:tcPr>
                <w:p>
                  <w:r>
                    <w:t xml:space="preserve">Number
[4]</w:t>
                  </w:r>
                </w:p>
              </w:tc>
              <w:tc>
                <w:tcPr>
                  <w:vAlign w:val="top"/>
                </w:tcPr>
                <w:p>
                  <w:r>
                    <w:t xml:space="preserve">N[NNN]</w:t>
                  </w:r>
                  <w:r>
                    <w:br/>
                  </w:r>
                </w:p>
                <w:p>
                  <w:r>
                    <w:t xml:space="preserve">The Australian Standard Classification of Languages (ASCL) code set representing languages.</w:t>
                  </w:r>
                </w:p>
              </w:tc>
            </w:tr>
            <w:tr>
              <w:trPr/>
              <w:tc>
                <w:tcPr>
                  <w:tcMar>
                    <w:right w:w="29" w:type="dxa"/>
                  </w:tcMar>
                  <w:vAlign w:val="top"/>
                </w:tcPr>
                <w:p>
                  <w:pPr>
                    <w:keepNext/>
                    <w:jc w:val="center"/>
                  </w:pPr>
                  <w:r>
                    <w:t xml:space="preserve">-</w:t>
                  </w:r>
                </w:p>
              </w:tc>
              <w:tc>
                <w:tcPr>
                  <w:tcMar/>
                  <w:vAlign w:val="top"/>
                </w:tcPr>
                <w:p>
                  <w:hyperlink w:history="true" r:id="Red1b00d46fb3489a">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0d9d35f68624405">
                    <w:r>
                      <w:rPr>
                        <w:rStyle w:val="Hyperlink"/>
                      </w:rPr>
                      <w:t xml:space="preserve">Usual accommodation type prior to service episode</w:t>
                    </w:r>
                  </w:hyperlink>
                </w:p>
              </w:tc>
              <w:tc>
                <w:tcPr>
                  <w:vAlign w:val="top"/>
                </w:tcPr>
                <w:p>
                  <w:r>
                    <w:t xml:space="preserve">564711</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Independent residential</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Private residence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Boarding house/private hotel</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Informal housing</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None/homeless/public place</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Supported independent living</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Domestic-scale supported living facility</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Supported accommodation facility</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Short term crisis, emergency or transitional accommodation facility</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Rehabilitation hospital</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Special-purpose residential setting</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Residential aged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Community care residential unit</w:t>
                        </w:r>
                      </w:p>
                    </w:tc>
                  </w:tr>
                  <w:tr>
                    <w:trPr/>
                    <w:tc>
                      <w:tcPr>
                        <w:tcW w:w="1000" w:type="pct"/>
                        <w:tcBorders>
                          <w:top w:val="none" w:color="000000" w:sz="0"/>
                          <w:left w:val="none" w:color="000000" w:sz="0"/>
                          <w:bottom w:val="none" w:color="000000" w:sz="0"/>
                          <w:right w:val="none" w:color="000000" w:sz="0"/>
                        </w:tcBorders>
                        <w:tcMar/>
                        <w:vAlign w:val="top"/>
                      </w:tcPr>
                      <w:p>
                        <w:r>
                          <w:t xml:space="preserve">33.1 </w:t>
                        </w:r>
                      </w:p>
                    </w:tc>
                    <w:tc>
                      <w:tcPr>
                        <w:tcBorders>
                          <w:top w:val="none" w:color="000000" w:sz="0"/>
                          <w:left w:val="none" w:color="000000" w:sz="0"/>
                          <w:bottom w:val="none" w:color="000000" w:sz="0"/>
                          <w:right w:val="none" w:color="000000" w:sz="0"/>
                        </w:tcBorders>
                        <w:tcMar/>
                        <w:vAlign w:val="top"/>
                      </w:tcPr>
                      <w:p>
                        <w:r>
                          <w:t xml:space="preserve">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33.2 </w:t>
                        </w:r>
                      </w:p>
                    </w:tc>
                    <w:tc>
                      <w:tcPr>
                        <w:tcBorders>
                          <w:top w:val="none" w:color="000000" w:sz="0"/>
                          <w:left w:val="none" w:color="000000" w:sz="0"/>
                          <w:bottom w:val="none" w:color="000000" w:sz="0"/>
                          <w:right w:val="none" w:color="000000" w:sz="0"/>
                        </w:tcBorders>
                        <w:tcMar/>
                        <w:vAlign w:val="top"/>
                      </w:tcPr>
                      <w:p>
                        <w:r>
                          <w:t xml:space="preserve">Alcohol and other drugs</w:t>
                        </w:r>
                      </w:p>
                    </w:tc>
                  </w:tr>
                  <w:tr>
                    <w:trPr/>
                    <w:tc>
                      <w:tcPr>
                        <w:tcW w:w="1000" w:type="pct"/>
                        <w:tcBorders>
                          <w:top w:val="none" w:color="000000" w:sz="0"/>
                          <w:left w:val="none" w:color="000000" w:sz="0"/>
                          <w:bottom w:val="none" w:color="000000" w:sz="0"/>
                          <w:right w:val="none" w:color="000000" w:sz="0"/>
                        </w:tcBorders>
                        <w:tcMar/>
                        <w:vAlign w:val="top"/>
                      </w:tcPr>
                      <w:p>
                        <w:r>
                          <w:t xml:space="preserve">33.8 </w:t>
                        </w:r>
                      </w:p>
                    </w:tc>
                    <w:tc>
                      <w:tcPr>
                        <w:tcBorders>
                          <w:top w:val="none" w:color="000000" w:sz="0"/>
                          <w:left w:val="none" w:color="000000" w:sz="0"/>
                          <w:bottom w:val="none" w:color="000000" w:sz="0"/>
                          <w:right w:val="none" w:color="000000" w:sz="0"/>
                        </w:tcBorders>
                        <w:tcMar/>
                        <w:vAlign w:val="top"/>
                      </w:tcPr>
                      <w:p>
                        <w:r>
                          <w:t xml:space="preserve">Other specialised community residential</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Custodial</w:t>
                        </w:r>
                      </w:p>
                    </w:tc>
                  </w:tr>
                  <w:tr>
                    <w:trPr/>
                    <w:tc>
                      <w:tcPr>
                        <w:tcW w:w="1000" w:type="pct"/>
                        <w:tcBorders>
                          <w:top w:val="none" w:color="000000" w:sz="0"/>
                          <w:left w:val="none" w:color="000000" w:sz="0"/>
                          <w:bottom w:val="none" w:color="000000" w:sz="0"/>
                          <w:right w:val="none" w:color="000000" w:sz="0"/>
                        </w:tcBorders>
                        <w:tcMar/>
                        <w:vAlign w:val="top"/>
                      </w:tcPr>
                      <w:p>
                        <w:r>
                          <w:t xml:space="preserve">34 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5442a3af1d71488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686596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e50983208a4e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42a3af1d71488f" /><Relationship Type="http://schemas.openxmlformats.org/officeDocument/2006/relationships/header" Target="/word/header1.xml" Id="R3dd39f8a9b0e4cee" /><Relationship Type="http://schemas.openxmlformats.org/officeDocument/2006/relationships/settings" Target="/word/settings.xml" Id="R4f3658345a9543d1" /><Relationship Type="http://schemas.openxmlformats.org/officeDocument/2006/relationships/styles" Target="/word/styles.xml" Id="Re5b5b95da4064a58" /><Relationship Type="http://schemas.openxmlformats.org/officeDocument/2006/relationships/hyperlink" Target="https://meteor-uat.aihw.gov.au/content/686238" TargetMode="External" Id="R941c8ed0ca8b4905" /><Relationship Type="http://schemas.openxmlformats.org/officeDocument/2006/relationships/hyperlink" Target="https://meteor-uat.aihw.gov.au/content/349481" TargetMode="External" Id="R647f520f6e0a4c04" /><Relationship Type="http://schemas.openxmlformats.org/officeDocument/2006/relationships/hyperlink" Target="https://meteor-uat.aihw.gov.au/content/349483" TargetMode="External" Id="R8cbccf65f2954973" /><Relationship Type="http://schemas.openxmlformats.org/officeDocument/2006/relationships/hyperlink" Target="https://meteor-uat.aihw.gov.au/content/287007" TargetMode="External" Id="R5b3f39bbdd114a79" /><Relationship Type="http://schemas.openxmlformats.org/officeDocument/2006/relationships/hyperlink" Target="https://meteor-uat.aihw.gov.au/content/635126" TargetMode="External" Id="R61f6441bfc0748b9" /><Relationship Type="http://schemas.openxmlformats.org/officeDocument/2006/relationships/hyperlink" Target="https://meteor-uat.aihw.gov.au/content/686241" TargetMode="External" Id="Rcdb9f330cd6044f7" /><Relationship Type="http://schemas.openxmlformats.org/officeDocument/2006/relationships/hyperlink" Target="https://meteor-uat.aihw.gov.au/content/294429" TargetMode="External" Id="R0dbde9d9e53545f8" /><Relationship Type="http://schemas.openxmlformats.org/officeDocument/2006/relationships/hyperlink" Target="https://meteor-uat.aihw.gov.au/content/611398" TargetMode="External" Id="Re02661a759104194" /><Relationship Type="http://schemas.openxmlformats.org/officeDocument/2006/relationships/hyperlink" Target="https://meteor-uat.aihw.gov.au/content/659774" TargetMode="External" Id="R00863748fa9d4343" /><Relationship Type="http://schemas.openxmlformats.org/officeDocument/2006/relationships/hyperlink" Target="https://meteor-uat.aihw.gov.au/content/270113" TargetMode="External" Id="Rc4698420b4ea4f26" /><Relationship Type="http://schemas.openxmlformats.org/officeDocument/2006/relationships/hyperlink" Target="https://meteor-uat.aihw.gov.au/content/270111" TargetMode="External" Id="R29f2eeb2bee44f4a" /><Relationship Type="http://schemas.openxmlformats.org/officeDocument/2006/relationships/hyperlink" Target="https://meteor-uat.aihw.gov.au/content/270011" TargetMode="External" Id="R36d2d4357ad54c70" /><Relationship Type="http://schemas.openxmlformats.org/officeDocument/2006/relationships/hyperlink" Target="https://meteor-uat.aihw.gov.au/content/270083" TargetMode="External" Id="Ra8a3b12811d84b6d" /><Relationship Type="http://schemas.openxmlformats.org/officeDocument/2006/relationships/hyperlink" Target="https://meteor-uat.aihw.gov.au/content/467579" TargetMode="External" Id="R32000866774941b7" /><Relationship Type="http://schemas.openxmlformats.org/officeDocument/2006/relationships/hyperlink" Target="https://meteor-uat.aihw.gov.au/content/467699" TargetMode="External" Id="R38ba303bd7564769" /><Relationship Type="http://schemas.openxmlformats.org/officeDocument/2006/relationships/hyperlink" Target="https://meteor-uat.aihw.gov.au/content/269946" TargetMode="External" Id="R8a07905f61c2492a" /><Relationship Type="http://schemas.openxmlformats.org/officeDocument/2006/relationships/hyperlink" Target="https://meteor-uat.aihw.gov.au/content/270068" TargetMode="External" Id="R0a30386ebbbf42ec" /><Relationship Type="http://schemas.openxmlformats.org/officeDocument/2006/relationships/hyperlink" Target="https://meteor-uat.aihw.gov.au/content/270067" TargetMode="External" Id="Rcb0343950b7245a6" /><Relationship Type="http://schemas.openxmlformats.org/officeDocument/2006/relationships/hyperlink" Target="https://meteor-uat.aihw.gov.au/content/270069" TargetMode="External" Id="R5129f9902bf74bb0" /><Relationship Type="http://schemas.openxmlformats.org/officeDocument/2006/relationships/hyperlink" Target="https://meteor-uat.aihw.gov.au/content/270056" TargetMode="External" Id="R0c58290f87104230" /><Relationship Type="http://schemas.openxmlformats.org/officeDocument/2006/relationships/hyperlink" Target="https://meteor-uat.aihw.gov.au/content/270076" TargetMode="External" Id="R78d72d9371b34be1" /><Relationship Type="http://schemas.openxmlformats.org/officeDocument/2006/relationships/hyperlink" Target="https://meteor-uat.aihw.gov.au/content/269973" TargetMode="External" Id="Re80af520518d4af4" /><Relationship Type="http://schemas.openxmlformats.org/officeDocument/2006/relationships/hyperlink" Target="https://meteor-uat.aihw.gov.au/content/659454" TargetMode="External" Id="R28719664a9454677" /><Relationship Type="http://schemas.openxmlformats.org/officeDocument/2006/relationships/hyperlink" Target="https://meteor-uat.aihw.gov.au/content/287007" TargetMode="External" Id="R54d47dfbc2fb4801" /><Relationship Type="http://schemas.openxmlformats.org/officeDocument/2006/relationships/hyperlink" Target="https://meteor-uat.aihw.gov.au/content/602543" TargetMode="External" Id="Rc7a763e3fba94d7a" /><Relationship Type="http://schemas.openxmlformats.org/officeDocument/2006/relationships/hyperlink" Target="https://meteor-uat.aihw.gov.au/content/290046" TargetMode="External" Id="R178b634ec4b4407b" /><Relationship Type="http://schemas.openxmlformats.org/officeDocument/2006/relationships/hyperlink" Target="https://meteor-uat.aihw.gov.au/content/659407" TargetMode="External" Id="R98e12ea33d4742c2" /><Relationship Type="http://schemas.openxmlformats.org/officeDocument/2006/relationships/hyperlink" Target="https://meteor-uat.aihw.gov.au/content/635126" TargetMode="External" Id="Red1b00d46fb3489a" /><Relationship Type="http://schemas.openxmlformats.org/officeDocument/2006/relationships/hyperlink" Target="https://meteor-uat.aihw.gov.au/content/564711" TargetMode="External" Id="Rb0d9d35f68624405" /></Relationships>
</file>

<file path=word/_rels/header1.xml.rels>&#65279;<?xml version="1.0" encoding="utf-8"?><Relationships xmlns="http://schemas.openxmlformats.org/package/2006/relationships"><Relationship Type="http://schemas.openxmlformats.org/officeDocument/2006/relationships/image" Target="/media/image.png" Id="R35e50983208a4e0c" /></Relationships>
</file>