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6854c85f0f4a75" /></Relationships>
</file>

<file path=word/document.xml><?xml version="1.0" encoding="utf-8"?>
<w:document xmlns:r="http://schemas.openxmlformats.org/officeDocument/2006/relationships" xmlns:w="http://schemas.openxmlformats.org/wordprocessingml/2006/main">
  <w:body>
    <w:p>
      <w:pPr>
        <w:pStyle w:val="Title"/>
      </w:pPr>
      <w:r>
        <w:t>Statistical linkage key 581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linkage key 581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7191099f8a47b0">
              <w:r>
                <w:rPr>
                  <w:rStyle w:val="Hyperlink"/>
                  <w:color w:val="244061"/>
                </w:rPr>
                <w:t xml:space="preserve">Homelessness</w:t>
              </w:r>
            </w:hyperlink>
            <w:r>
              <w:rPr>
                <w:rStyle w:val="row-content"/>
                <w:color w:val="244061"/>
              </w:rPr>
              <w:t xml:space="preserve">, Standard 10/08/2018</w:t>
            </w:r>
          </w:p>
          <w:p>
            <w:pPr>
              <w:spacing w:before="0" w:after="0"/>
            </w:pPr>
            <w:hyperlink w:history="true" r:id="R071bb6847a95432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data linkage refers to the bringing together of data from different sources to gain a greater understanding of a situation or individual from the combined (or linked) dataset. This facilitates a better understanding of the patterns of service use by groups of clients for research, statistical or policy analysis, planning and evaluation purposes.</w:t>
            </w:r>
          </w:p>
          <w:p>
            <w:pPr>
              <w:spacing w:after="160"/>
            </w:pPr>
            <w:r>
              <w:rPr>
                <w:rStyle w:val="row-content-rich-text"/>
              </w:rPr>
              <w:t xml:space="preserve">Its form is: </w:t>
            </w:r>
            <w:r>
              <w:rPr>
                <w:rStyle w:val="row-content-rich-text"/>
                <w:b/>
              </w:rPr>
              <w:t xml:space="preserve">XXXXXDDMMYYYYX</w:t>
            </w:r>
          </w:p>
          <w:p>
            <w:pPr>
              <w:spacing w:after="160"/>
            </w:pPr>
            <w:r>
              <w:rPr>
                <w:rStyle w:val="row-content-rich-text"/>
              </w:rPr>
              <w:t xml:space="preserve">The sequence in which the linkage key is completed is as follows:</w:t>
            </w:r>
          </w:p>
          <w:p>
            <w:pPr>
              <w:pStyle w:val="ListParagraph"/>
              <w:numPr>
                <w:ilvl w:val="0"/>
                <w:numId w:val="2"/>
              </w:numPr>
            </w:pPr>
            <w:r>
              <w:rPr>
                <w:rStyle w:val="row-content-rich-text"/>
              </w:rPr>
              <w:t xml:space="preserve">Family name (the first 3 Xs)</w:t>
            </w:r>
          </w:p>
          <w:p>
            <w:pPr>
              <w:pStyle w:val="ListParagraph"/>
              <w:numPr>
                <w:ilvl w:val="0"/>
                <w:numId w:val="2"/>
              </w:numPr>
            </w:pPr>
            <w:r>
              <w:rPr>
                <w:rStyle w:val="row-content-rich-text"/>
              </w:rPr>
              <w:t xml:space="preserve">Given name (the 4th and 5th X)</w:t>
            </w:r>
          </w:p>
          <w:p>
            <w:pPr>
              <w:pStyle w:val="ListParagraph"/>
              <w:numPr>
                <w:ilvl w:val="0"/>
                <w:numId w:val="2"/>
              </w:numPr>
            </w:pPr>
            <w:r>
              <w:rPr>
                <w:rStyle w:val="row-content-rich-text"/>
              </w:rPr>
              <w:t xml:space="preserve">Date of birth by day (DD), month (MM) and 4-digit year (YYYY)</w:t>
            </w:r>
          </w:p>
          <w:p>
            <w:pPr>
              <w:pStyle w:val="ListParagraph"/>
              <w:numPr>
                <w:ilvl w:val="0"/>
                <w:numId w:val="2"/>
              </w:numPr>
            </w:pPr>
            <w:r>
              <w:rPr>
                <w:rStyle w:val="row-content-rich-text"/>
              </w:rPr>
              <w:t xml:space="preserve">Sex (last X).</w:t>
            </w:r>
          </w:p>
          <w:p>
            <w:pPr>
              <w:spacing w:after="160"/>
            </w:pPr>
            <w:r>
              <w:rPr>
                <w:rStyle w:val="row-content-rich-text"/>
                <w:b/>
              </w:rPr>
              <w:t xml:space="preserve">XXX 2nd, 3rd and 5th letters of the family name.</w:t>
            </w:r>
          </w:p>
          <w:p>
            <w:pPr>
              <w:spacing w:after="160"/>
            </w:pPr>
            <w:r>
              <w:rPr>
                <w:rStyle w:val="row-content-rich-text"/>
              </w:rPr>
              <w:t xml:space="preserve">In the first three spaces the agency should record the 2nd, 3rd and 5th letters of the person’s family name.</w:t>
            </w:r>
          </w:p>
          <w:p>
            <w:pPr>
              <w:spacing w:after="160"/>
            </w:pPr>
            <w:r>
              <w:rPr>
                <w:rStyle w:val="row-content-rich-text"/>
              </w:rPr>
              <w:t xml:space="preserve">For example: If the person’s family name is Smith the reported value should be MIH. If the person's family name is Jones the reported value should be ONS.</w:t>
            </w:r>
          </w:p>
          <w:p>
            <w:pPr>
              <w:spacing w:after="160"/>
            </w:pPr>
            <w:r>
              <w:rPr>
                <w:rStyle w:val="row-content-rich-text"/>
              </w:rPr>
              <w:t xml:space="preserve">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pPr>
              <w:spacing w:after="160"/>
            </w:pPr>
            <w:r>
              <w:rPr>
                <w:rStyle w:val="row-content-rich-text"/>
              </w:rPr>
              <w:t xml:space="preserve">Cases where the family name has less than 5 letters:</w:t>
            </w:r>
          </w:p>
          <w:p>
            <w:pPr>
              <w:spacing w:after="160"/>
            </w:pPr>
            <w:r>
              <w:rPr>
                <w:rStyle w:val="row-content-rich-text"/>
              </w:rPr>
              <w:t xml:space="preserve">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pPr>
              <w:spacing w:after="160"/>
            </w:pPr>
            <w:r>
              <w:rPr>
                <w:rStyle w:val="row-content-rich-text"/>
              </w:rPr>
              <w:t xml:space="preserve">If a person’s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p>
            <w:pPr>
              <w:spacing w:after="160"/>
            </w:pPr>
            <w:r>
              <w:rPr>
                <w:rStyle w:val="row-content-rich-text"/>
              </w:rPr>
              <w:t xml:space="preserve">If the person’s family name includes non-alphabetic characters—for example hyphens (as in Lee-Archer), apostrophes (as in O’Mara) or blank spaces (as in De Vries)—these non-alphabetic characters should be ignored when counting the position of each character.</w:t>
            </w:r>
          </w:p>
          <w:p>
            <w:pPr>
              <w:spacing w:after="160"/>
            </w:pPr>
            <w:r>
              <w:rPr>
                <w:rStyle w:val="row-content-rich-text"/>
                <w:b/>
              </w:rPr>
              <w:t xml:space="preserve">XX 2nd and 3rd letters of the given name</w:t>
            </w:r>
          </w:p>
          <w:p>
            <w:pPr>
              <w:spacing w:after="160"/>
            </w:pPr>
            <w:r>
              <w:rPr>
                <w:rStyle w:val="row-content-rich-text"/>
              </w:rPr>
              <w:t xml:space="preserve">In the fourth and fifth spaces the agency should record the 2nd and 3rd letters of the person’s given name.</w:t>
            </w:r>
          </w:p>
          <w:p>
            <w:pPr>
              <w:spacing w:after="160"/>
            </w:pPr>
            <w:r>
              <w:rPr>
                <w:rStyle w:val="row-content-rich-text"/>
              </w:rPr>
              <w:t xml:space="preserve">For example: If the person’s given name is Elizabeth the reported value should be LI. If the person's given name is Robert the reported value should be OB.</w:t>
            </w:r>
          </w:p>
          <w:p>
            <w:pPr>
              <w:spacing w:after="160"/>
            </w:pPr>
            <w:r>
              <w:rPr>
                <w:rStyle w:val="row-content-rich-text"/>
              </w:rPr>
              <w:t xml:space="preserve">If the person’s given name includes non-alphabetic characters—for example hyphens (as in Jo-Anne) or apostrophes (as in D'Arcy), these non-alphabetic characters should be ignored when counting the position of each character.</w:t>
            </w:r>
          </w:p>
          <w:p>
            <w:pPr>
              <w:spacing w:after="160"/>
            </w:pPr>
            <w:r>
              <w:rPr>
                <w:rStyle w:val="row-content-rich-text"/>
              </w:rPr>
              <w:t xml:space="preserve">Regardless of the length of a person’s given name, the reported value should always be two characters long. If the given name of the person is not long enough to supply the requested letters (i.e. a name of less than three letters) then agencies should substitute the number ‘2’ to reflect the missing letters. The placement of a number ‘2’ should always correspond to the same space that the missing letter would have within the 2-digit field. A number (rather than a letter) is used for such substitutions in order to clearly indicate that an appropriate corresponding letter from the person’s name is not available.</w:t>
            </w:r>
          </w:p>
          <w:p>
            <w:pPr>
              <w:spacing w:after="160"/>
            </w:pPr>
            <w:r>
              <w:rPr>
                <w:rStyle w:val="row-content-rich-text"/>
              </w:rPr>
              <w:t xml:space="preserve">For example: If the person’s legal name was Jo then the value reported would be O2 because the 2 is substituting for the missing 3rd letter of the given name.</w:t>
            </w:r>
          </w:p>
          <w:p>
            <w:pPr>
              <w:spacing w:after="160"/>
            </w:pPr>
            <w:r>
              <w:rPr>
                <w:rStyle w:val="row-content-rich-text"/>
              </w:rPr>
              <w:t xml:space="preserve">If the person’s given name is missing altogether the agency should record 99 for the two spaces associated with the given name. In some cultures it is traditional to state the family name first. To overcome discrepancies in recording/reporting that may arise as a result of this practice, agencies should always ask the person to specify their given name and their family name separately. These should then be recorded as first given name and family name as appropriate, regardless of the order in which they may be traditionally given.</w:t>
            </w:r>
          </w:p>
          <w:p>
            <w:pPr>
              <w:spacing w:after="160"/>
            </w:pPr>
            <w:r>
              <w:rPr>
                <w:rStyle w:val="row-content-rich-text"/>
                <w:b/>
              </w:rPr>
              <w:t xml:space="preserve">Date of Birth</w:t>
            </w:r>
          </w:p>
          <w:p>
            <w:pPr>
              <w:spacing w:after="160"/>
            </w:pPr>
            <w:r>
              <w:rPr>
                <w:rStyle w:val="row-content-rich-text"/>
              </w:rPr>
              <w:t xml:space="preserve">In the sixth to thirteenth spaces the agency should record the day, month and year a person was born as follows:</w:t>
            </w:r>
          </w:p>
          <w:p>
            <w:pPr>
              <w:pStyle w:val="ListParagraph"/>
              <w:numPr>
                <w:ilvl w:val="0"/>
                <w:numId w:val="3"/>
              </w:numPr>
            </w:pPr>
            <w:r>
              <w:rPr>
                <w:rStyle w:val="row-content-rich-text"/>
              </w:rPr>
              <w:t xml:space="preserve">DD represents the day in the month a person was born</w:t>
            </w:r>
          </w:p>
          <w:p>
            <w:pPr>
              <w:pStyle w:val="ListParagraph"/>
              <w:numPr>
                <w:ilvl w:val="0"/>
                <w:numId w:val="3"/>
              </w:numPr>
            </w:pPr>
            <w:r>
              <w:rPr>
                <w:rStyle w:val="row-content-rich-text"/>
              </w:rPr>
              <w:t xml:space="preserve">MM represents the month in the year a person was born</w:t>
            </w:r>
          </w:p>
          <w:p>
            <w:pPr>
              <w:pStyle w:val="ListParagraph"/>
              <w:numPr>
                <w:ilvl w:val="0"/>
                <w:numId w:val="3"/>
              </w:numPr>
            </w:pPr>
            <w:r>
              <w:rPr>
                <w:rStyle w:val="row-content-rich-text"/>
              </w:rPr>
              <w:t xml:space="preserve">YYYY represents the year a person was born.</w:t>
            </w:r>
          </w:p>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under 2. Additionally, an estimated date flag or a </w:t>
            </w:r>
            <w:hyperlink w:history="true" r:id="Ra5acf90782b84c48">
              <w:r>
                <w:rPr>
                  <w:rStyle w:val="Hyperlink"/>
                </w:rPr>
                <w:t xml:space="preserve">date accuracy indicator </w:t>
              </w:r>
            </w:hyperlink>
            <w:r>
              <w:rPr>
                <w:rStyle w:val="row-content-rich-text"/>
              </w:rPr>
              <w:t xml:space="preserve">should be reported in conjunction with all estimated dates of birth.</w:t>
            </w:r>
          </w:p>
          <w:p>
            <w:pPr>
              <w:spacing w:after="160"/>
            </w:pPr>
            <w:r>
              <w:rPr>
                <w:rStyle w:val="row-content-rich-text"/>
              </w:rPr>
              <w:t xml:space="preserve">For data collections concerned with children's services, it is suggested that the estimated date of birth of children aged under 2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w:t>
            </w:r>
            <w:hyperlink w:history="true" r:id="R8de05b7eb36344ba">
              <w:r>
                <w:rPr>
                  <w:rStyle w:val="Hyperlink"/>
                </w:rPr>
                <w:t xml:space="preserve">date accuracy indicator </w:t>
              </w:r>
            </w:hyperlink>
            <w:r>
              <w:rPr>
                <w:rStyle w:val="row-content-rich-text"/>
              </w:rPr>
              <w:t xml:space="preserve">should be reported in conjunction with all estimated dates of birth.</w:t>
            </w:r>
          </w:p>
          <w:p>
            <w:pPr>
              <w:spacing w:after="160"/>
            </w:pPr>
            <w:r>
              <w:rPr>
                <w:rStyle w:val="row-content-rich-text"/>
                <w:b/>
              </w:rPr>
              <w:t xml:space="preserve">Sex</w:t>
            </w:r>
          </w:p>
          <w:p>
            <w:pPr>
              <w:spacing w:after="160"/>
            </w:pPr>
            <w:r>
              <w:rPr>
                <w:rStyle w:val="row-content-rich-text"/>
              </w:rPr>
              <w:t xml:space="preserve">In the fourteenth space the agency should record the sex of the person.  The term 'sex' refers to a person's biological characteristics. Codes 1 or M are used to record 'Male'. Codes 2 or F are used to record 'Female'. Codes 3 or X are used to record 'Other'. Code 9 is used to record 'Not stated/inadequately described'.</w:t>
            </w:r>
          </w:p>
          <w:p>
            <w:pPr>
              <w:spacing w:after="160"/>
            </w:pPr>
            <w:r>
              <w:rPr>
                <w:rStyle w:val="row-content-rich-text"/>
              </w:rPr>
              <w:t xml:space="preserve">Data that has been produced by linkage for statistical and research purposes should not be used subsequently for client management purposes.</w:t>
            </w:r>
          </w:p>
          <w:p>
            <w:pPr/>
            <w:r>
              <w:rPr>
                <w:rStyle w:val="row-content-rich-text"/>
              </w:rPr>
              <w:t xml:space="preserve">This data cluster contains a set of specific data elements to be reported on in a predetermined combination.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recognised that in some cases an individual may choose to report their gender when sex is being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f3dbd6038140a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1998. Home and Community Care (HACC) Data Dictionary Version 1.0. Report prepared for the Commonwealth and State/Territory government HACC Officials.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Information Management Group 2004. Statistical data linkage in community services data collections.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f1ba1889464784">
              <w:r>
                <w:rPr>
                  <w:rStyle w:val="Hyperlink"/>
                </w:rPr>
                <w:t xml:space="preserve">Statistical linkage key 581 cluster</w:t>
              </w:r>
            </w:hyperlink>
          </w:p>
          <w:p>
            <w:pPr>
              <w:pStyle w:val="registration-status"/>
              <w:spacing w:before="0" w:after="0"/>
            </w:pPr>
            <w:hyperlink w:history="true" r:id="Rf042b7305eb54203">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73996f9f4a7a4a5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0fdf3f88d05446eb">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3ff3d0567a1e4ce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e5f18dc7072476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0cf027cf9094201">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dee3b6d879be4b87">
              <w:r>
                <w:rPr>
                  <w:rStyle w:val="Hyperlink"/>
                </w:rPr>
                <w:t xml:space="preserve">Statistical linkage key 581 cluster</w:t>
              </w:r>
            </w:hyperlink>
          </w:p>
          <w:p>
            <w:pPr>
              <w:pStyle w:val="registration-status"/>
              <w:spacing w:before="0" w:after="0"/>
            </w:pPr>
            <w:hyperlink w:history="true" r:id="R5d301e8844544bf2">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7d3321395b764251">
              <w:r>
                <w:rPr>
                  <w:rStyle w:val="Hyperlink"/>
                </w:rPr>
                <w:t xml:space="preserve">Date—accuracy indicator, code AAA</w:t>
              </w:r>
            </w:hyperlink>
          </w:p>
          <w:p>
            <w:pPr>
              <w:pStyle w:val="registration-status"/>
              <w:spacing w:before="0" w:after="0"/>
            </w:pPr>
            <w:hyperlink w:history="true" r:id="Rcda5d4f9f60c4cca">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362a1027d074ff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6d94ec7baea40c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5bc962adbedf4ff3">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8c2a708958804772">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e7279b775f24b0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3acb09fc4044a4">
              <w:r>
                <w:rPr>
                  <w:rStyle w:val="Hyperlink"/>
                </w:rPr>
                <w:t xml:space="preserve">Alcohol and other drug treatment services NMDS 2018-19</w:t>
              </w:r>
            </w:hyperlink>
          </w:p>
          <w:p>
            <w:pPr>
              <w:pStyle w:val="registration-status"/>
              <w:spacing w:before="0" w:after="0"/>
            </w:pPr>
            <w:hyperlink w:history="true" r:id="R242a7d9157554c4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ae67a1969284de0">
              <w:r>
                <w:rPr>
                  <w:rStyle w:val="Hyperlink"/>
                </w:rPr>
                <w:t xml:space="preserve">Alcohol and other drug treatment services NMDS 2019–20</w:t>
              </w:r>
            </w:hyperlink>
          </w:p>
          <w:p>
            <w:pPr>
              <w:pStyle w:val="registration-status"/>
              <w:spacing w:before="0" w:after="0"/>
            </w:pPr>
            <w:hyperlink w:history="true" r:id="R499d933a56da4980">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7b107e9257642b9">
              <w:r>
                <w:rPr>
                  <w:rStyle w:val="Hyperlink"/>
                </w:rPr>
                <w:t xml:space="preserve">Alcohol and other drug treatment services NMDS 2020–21</w:t>
              </w:r>
            </w:hyperlink>
          </w:p>
          <w:p>
            <w:pPr>
              <w:pStyle w:val="registration-status"/>
              <w:spacing w:before="0" w:after="0"/>
            </w:pPr>
            <w:hyperlink w:history="true" r:id="R5e2ae20e935d43c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ef5eb0b73b1435b">
              <w:r>
                <w:rPr>
                  <w:rStyle w:val="Hyperlink"/>
                </w:rPr>
                <w:t xml:space="preserve">Alcohol and other drug treatment services NMDS 2021–22</w:t>
              </w:r>
            </w:hyperlink>
          </w:p>
          <w:p>
            <w:pPr>
              <w:pStyle w:val="registration-status"/>
              <w:spacing w:before="0" w:after="0"/>
            </w:pPr>
            <w:hyperlink w:history="true" r:id="R5912f05639b5464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6eeda2398844809">
              <w:r>
                <w:rPr>
                  <w:rStyle w:val="Hyperlink"/>
                </w:rPr>
                <w:t xml:space="preserve">Specialist Homelessness Services NMDS 2019-</w:t>
              </w:r>
            </w:hyperlink>
          </w:p>
          <w:p>
            <w:pPr>
              <w:pStyle w:val="registration-status"/>
              <w:spacing w:before="0" w:after="0"/>
            </w:pPr>
            <w:hyperlink w:history="true" r:id="R7294be8b786348bd">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4060b8d291d42d4">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a5b80fa908f488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7b7164b54c64d0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e8359a7099e421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8f7af58e4d84c48">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00f438ac11c4f64">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a32743566964c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787843214b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2743566964c12" /><Relationship Type="http://schemas.openxmlformats.org/officeDocument/2006/relationships/header" Target="/word/header1.xml" Id="R2cebb892f62e48c7" /><Relationship Type="http://schemas.openxmlformats.org/officeDocument/2006/relationships/settings" Target="/word/settings.xml" Id="Rb08239279b7d44ad" /><Relationship Type="http://schemas.openxmlformats.org/officeDocument/2006/relationships/styles" Target="/word/styles.xml" Id="R05fb6a12c06d4c41" /><Relationship Type="http://schemas.openxmlformats.org/officeDocument/2006/relationships/numbering" Target="/word/numbering.xml" Id="R512a5110ce8d47aa" /><Relationship Type="http://schemas.openxmlformats.org/officeDocument/2006/relationships/hyperlink" Target="https://meteor-uat.aihw.gov.au/RegistrationAuthority/16" TargetMode="External" Id="Rbf7191099f8a47b0" /><Relationship Type="http://schemas.openxmlformats.org/officeDocument/2006/relationships/hyperlink" Target="https://meteor-uat.aihw.gov.au/RegistrationAuthority/14" TargetMode="External" Id="R071bb6847a954329" /><Relationship Type="http://schemas.openxmlformats.org/officeDocument/2006/relationships/hyperlink" Target="https://meteor-uat.aihw.gov.au/content/294429" TargetMode="External" Id="Ra5acf90782b84c48" /><Relationship Type="http://schemas.openxmlformats.org/officeDocument/2006/relationships/hyperlink" Target="https://meteor-uat.aihw.gov.au/content/294429" TargetMode="External" Id="R8de05b7eb36344ba" /><Relationship Type="http://schemas.openxmlformats.org/officeDocument/2006/relationships/hyperlink" Target="https://meteor-uat.aihw.gov.au/content/246013" TargetMode="External" Id="Rc4f3dbd6038140ae" /><Relationship Type="http://schemas.openxmlformats.org/officeDocument/2006/relationships/hyperlink" Target="https://meteor-uat.aihw.gov.au/content/349510" TargetMode="External" Id="Rfaf1ba1889464784" /><Relationship Type="http://schemas.openxmlformats.org/officeDocument/2006/relationships/hyperlink" Target="https://meteor-uat.aihw.gov.au/RegistrationAuthority/3" TargetMode="External" Id="Rf042b7305eb54203" /><Relationship Type="http://schemas.openxmlformats.org/officeDocument/2006/relationships/hyperlink" Target="https://meteor-uat.aihw.gov.au/RegistrationAuthority/18" TargetMode="External" Id="R73996f9f4a7a4a52" /><Relationship Type="http://schemas.openxmlformats.org/officeDocument/2006/relationships/hyperlink" Target="https://meteor-uat.aihw.gov.au/RegistrationAuthority/15" TargetMode="External" Id="R0fdf3f88d05446eb" /><Relationship Type="http://schemas.openxmlformats.org/officeDocument/2006/relationships/hyperlink" Target="https://meteor-uat.aihw.gov.au/RegistrationAuthority/14" TargetMode="External" Id="R3ff3d0567a1e4ce0" /><Relationship Type="http://schemas.openxmlformats.org/officeDocument/2006/relationships/hyperlink" Target="https://meteor-uat.aihw.gov.au/RegistrationAuthority/16" TargetMode="External" Id="R1e5f18dc70724763" /><Relationship Type="http://schemas.openxmlformats.org/officeDocument/2006/relationships/hyperlink" Target="https://meteor-uat.aihw.gov.au/RegistrationAuthority/13" TargetMode="External" Id="R40cf027cf9094201" /><Relationship Type="http://schemas.openxmlformats.org/officeDocument/2006/relationships/hyperlink" Target="https://meteor-uat.aihw.gov.au/content/750410" TargetMode="External" Id="Rdee3b6d879be4b87" /><Relationship Type="http://schemas.openxmlformats.org/officeDocument/2006/relationships/hyperlink" Target="https://meteor-uat.aihw.gov.au/RegistrationAuthority/14" TargetMode="External" Id="R5d301e8844544bf2" /><Relationship Type="http://schemas.openxmlformats.org/officeDocument/2006/relationships/hyperlink" Target="https://meteor-uat.aihw.gov.au/content/294429" TargetMode="External" Id="R7d3321395b764251" /><Relationship Type="http://schemas.openxmlformats.org/officeDocument/2006/relationships/hyperlink" Target="https://meteor-uat.aihw.gov.au/RegistrationAuthority/3" TargetMode="External" Id="Rcda5d4f9f60c4cca" /><Relationship Type="http://schemas.openxmlformats.org/officeDocument/2006/relationships/hyperlink" Target="https://meteor-uat.aihw.gov.au/RegistrationAuthority/18" TargetMode="External" Id="R6362a1027d074ff6" /><Relationship Type="http://schemas.openxmlformats.org/officeDocument/2006/relationships/hyperlink" Target="https://meteor-uat.aihw.gov.au/RegistrationAuthority/15" TargetMode="External" Id="Rf6d94ec7baea40cc" /><Relationship Type="http://schemas.openxmlformats.org/officeDocument/2006/relationships/hyperlink" Target="https://meteor-uat.aihw.gov.au/RegistrationAuthority/14" TargetMode="External" Id="R5bc962adbedf4ff3" /><Relationship Type="http://schemas.openxmlformats.org/officeDocument/2006/relationships/hyperlink" Target="https://meteor-uat.aihw.gov.au/RegistrationAuthority/16" TargetMode="External" Id="R8c2a708958804772" /><Relationship Type="http://schemas.openxmlformats.org/officeDocument/2006/relationships/hyperlink" Target="https://meteor-uat.aihw.gov.au/RegistrationAuthority/13" TargetMode="External" Id="R7e7279b775f24b06" /><Relationship Type="http://schemas.openxmlformats.org/officeDocument/2006/relationships/hyperlink" Target="https://meteor-uat.aihw.gov.au/content/686596" TargetMode="External" Id="Rb43acb09fc4044a4" /><Relationship Type="http://schemas.openxmlformats.org/officeDocument/2006/relationships/hyperlink" Target="https://meteor-uat.aihw.gov.au/RegistrationAuthority/14" TargetMode="External" Id="R242a7d9157554c40" /><Relationship Type="http://schemas.openxmlformats.org/officeDocument/2006/relationships/hyperlink" Target="https://meteor-uat.aihw.gov.au/content/700931" TargetMode="External" Id="Rdae67a1969284de0" /><Relationship Type="http://schemas.openxmlformats.org/officeDocument/2006/relationships/hyperlink" Target="https://meteor-uat.aihw.gov.au/RegistrationAuthority/14" TargetMode="External" Id="R499d933a56da4980" /><Relationship Type="http://schemas.openxmlformats.org/officeDocument/2006/relationships/hyperlink" Target="https://meteor-uat.aihw.gov.au/content/717078" TargetMode="External" Id="R07b107e9257642b9" /><Relationship Type="http://schemas.openxmlformats.org/officeDocument/2006/relationships/hyperlink" Target="https://meteor-uat.aihw.gov.au/RegistrationAuthority/14" TargetMode="External" Id="R5e2ae20e935d43cb" /><Relationship Type="http://schemas.openxmlformats.org/officeDocument/2006/relationships/hyperlink" Target="https://meteor-uat.aihw.gov.au/content/733903" TargetMode="External" Id="R5ef5eb0b73b1435b" /><Relationship Type="http://schemas.openxmlformats.org/officeDocument/2006/relationships/hyperlink" Target="https://meteor-uat.aihw.gov.au/RegistrationAuthority/14" TargetMode="External" Id="R5912f05639b5464c" /><Relationship Type="http://schemas.openxmlformats.org/officeDocument/2006/relationships/hyperlink" Target="https://meteor-uat.aihw.gov.au/content/689064" TargetMode="External" Id="R16eeda2398844809" /><Relationship Type="http://schemas.openxmlformats.org/officeDocument/2006/relationships/hyperlink" Target="https://meteor-uat.aihw.gov.au/RegistrationAuthority/16" TargetMode="External" Id="R7294be8b786348bd" /><Relationship Type="http://schemas.openxmlformats.org/officeDocument/2006/relationships/hyperlink" Target="https://meteor-uat.aihw.gov.au/content/349481" TargetMode="External" Id="Rd4060b8d291d42d4" /><Relationship Type="http://schemas.openxmlformats.org/officeDocument/2006/relationships/hyperlink" Target="https://meteor-uat.aihw.gov.au/content/349483" TargetMode="External" Id="R3a5b80fa908f488a" /><Relationship Type="http://schemas.openxmlformats.org/officeDocument/2006/relationships/hyperlink" Target="https://meteor-uat.aihw.gov.au/content/287007" TargetMode="External" Id="Rf7b7164b54c64d0d" /><Relationship Type="http://schemas.openxmlformats.org/officeDocument/2006/relationships/hyperlink" Target="https://meteor-uat.aihw.gov.au/content/635126" TargetMode="External" Id="R3e8359a7099e421a" /><Relationship Type="http://schemas.openxmlformats.org/officeDocument/2006/relationships/hyperlink" Target="https://meteor-uat.aihw.gov.au/content/686241" TargetMode="External" Id="R08f7af58e4d84c48" /><Relationship Type="http://schemas.openxmlformats.org/officeDocument/2006/relationships/hyperlink" Target="https://meteor-uat.aihw.gov.au/content/294429" TargetMode="External" Id="Rc00f438ac11c4f64" /></Relationships>
</file>

<file path=word/_rels/header1.xml.rels>&#65279;<?xml version="1.0" encoding="utf-8"?><Relationships xmlns="http://schemas.openxmlformats.org/package/2006/relationships"><Relationship Type="http://schemas.openxmlformats.org/officeDocument/2006/relationships/image" Target="/media/image.png" Id="R8b787843214b41f0" /></Relationships>
</file>