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36d264573a4d5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2018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3db0c5a13445a2">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hyperlink w:history="true" r:id="R1b921f3382104f0a">
              <w:r>
                <w:rPr>
                  <w:rStyle w:val="Hyperlink"/>
                  <w:i/>
                </w:rPr>
                <w:t xml:space="preserve">Census and Statistics Act 1905</w:t>
              </w:r>
            </w:hyperlink>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w:t>
            </w:r>
            <w:hyperlink w:history="true" r:id="Rb0ee58f7f2d94ebb">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are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Causes of Death data are published annually approximately 9 months after the end of the reference period. The 2015 Causes of Death dataset was released approximately 6 months earlier than usual, allowing more timely access to Australian mortality data. For more information on process changes see </w:t>
            </w:r>
            <w:hyperlink w:history="true" r:id="R62208c4940cc46ba">
              <w:r>
                <w:rPr>
                  <w:rStyle w:val="Hyperlink"/>
                  <w:i/>
                </w:rPr>
                <w:t xml:space="preserve">A more timely annual collection: changes to ABS processes</w:t>
              </w:r>
              <w:r>
                <w:rPr>
                  <w:rStyle w:val="row-content-rich-text"/>
                </w:rPr>
                <w:t xml:space="preserve"> (technical note)</w:t>
              </w:r>
            </w:hyperlink>
            <w:r>
              <w:rPr>
                <w:rStyle w:val="row-content-rich-text"/>
              </w:rPr>
              <w:t xml:space="preserve"> in </w:t>
            </w:r>
            <w:hyperlink w:history="true" r:id="Rd28fb14f18774e94">
              <w:r>
                <w:rPr>
                  <w:rStyle w:val="Hyperlink"/>
                  <w:i/>
                </w:rPr>
                <w:t xml:space="preserve">Causes of death Australia, 2015</w:t>
              </w:r>
            </w:hyperlink>
            <w:r>
              <w:rPr>
                <w:rStyle w:val="row-content-rich-text"/>
              </w:rPr>
              <w:t xml:space="preserve"> (ABS 2016).</w:t>
            </w:r>
          </w:p>
          <w:p>
            <w:pPr>
              <w:spacing w:after="160"/>
            </w:pPr>
            <w:r>
              <w:rPr>
                <w:rStyle w:val="row-content-rich-text"/>
              </w:rPr>
              <w:t xml:space="preserve">There is a focus on fitness for purpose when causes of death statistics are released. To meet user requirements for accurate causes of death data it is necessary to obtain information from other administrative sources before all information for the reference period is available. This specifically applies to coroner-certified deaths, where extra information relating to the death is provided through police, toxicology, autopsy and coronial finding reports. A balance therefore needs to be maintained between accuracy (completeness) of data and timeliness. ABS provides the data in a timely manner, ensuring that all coding possible can be undertaken with accuracy prior to publication.</w:t>
            </w:r>
          </w:p>
          <w:p>
            <w:pPr>
              <w:spacing w:after="160"/>
            </w:pPr>
            <w:r>
              <w:rPr>
                <w:rStyle w:val="row-content-rich-text"/>
              </w:rPr>
              <w:t xml:space="preserve">As coroner certified deaths can have ill-defined causes of death until a case is closed within the coronial system, a revisions process was introduced to enhance the cause of death output for open coroner cases. This process enables the use of additional information relating to coroner-certified deaths either 12 or 24 months after initial processing. See Explanatory notes 55-58 and the </w:t>
            </w:r>
            <w:hyperlink w:history="true" r:id="Rd007c1227dce4059">
              <w:r>
                <w:rPr>
                  <w:rStyle w:val="Hyperlink"/>
                </w:rPr>
                <w:t xml:space="preserve">Causes of death revisions, 2013 final data technical note</w:t>
              </w:r>
            </w:hyperlink>
            <w:r>
              <w:rPr>
                <w:rStyle w:val="row-content-rich-text"/>
              </w:rPr>
              <w:t xml:space="preserve"> in </w:t>
            </w:r>
            <w:hyperlink w:history="true" r:id="Rca3e4dfc5cc347a4">
              <w:r>
                <w:rPr>
                  <w:rStyle w:val="Hyperlink"/>
                  <w:i/>
                </w:rPr>
                <w:t xml:space="preserve">Causes of Death, Australia, 2015</w:t>
              </w:r>
            </w:hyperlink>
            <w:r>
              <w:rPr>
                <w:rStyle w:val="row-content-rich-text"/>
              </w:rPr>
              <w:t xml:space="preserve">(ABS 2016)</w:t>
            </w:r>
            <w:r>
              <w:rPr>
                <w:rStyle w:val="row-content-rich-text"/>
                <w:i/>
              </w:rPr>
              <w:t xml:space="preserve"> </w:t>
            </w:r>
            <w:r>
              <w:rPr>
                <w:rStyle w:val="row-content-rich-text"/>
              </w:rPr>
              <w:t xml:space="preserve">for further information on the revision process.</w:t>
            </w:r>
          </w:p>
          <w:p>
            <w:hyperlink w:history="true" r:id="R0c3327cc97dd4e2a">
              <w:r>
                <w:rPr>
                  <w:rStyle w:val="Hyperlink"/>
                  <w:i/>
                </w:rPr>
                <w:t xml:space="preserve">Causes of Death, Australia, 2016</w:t>
              </w:r>
            </w:hyperlink>
            <w:r>
              <w:rPr>
                <w:rStyle w:val="row-content-rich-text"/>
              </w:rPr>
              <w:t xml:space="preserve">(ABS 2017) does not include revised data for the 2015 or 2016 reference periods. The ABS remains committed to the revision of coroner-referred deaths and will release revised data for 2015 reference year in early 2018. 2016 reference year data will be released in early 2019.</w:t>
            </w:r>
          </w:p>
          <w:p>
            <w:pPr>
              <w:spacing w:after="160"/>
            </w:pPr>
            <w:r>
              <w:rPr>
                <w:rStyle w:val="row-content-rich-text"/>
              </w:rPr>
              <w:t xml:space="preserve">Preliminary estimated resident population (ERP) data are compiled and published quarterly and is generally made available 5</w:t>
            </w:r>
            <w:r>
              <w:rPr>
                <w:rStyle w:val="row-content-rich-text"/>
              </w:rPr>
              <w:t xml:space="preserve">–</w:t>
            </w:r>
            <w:r>
              <w:rPr>
                <w:rStyle w:val="row-content-rich-text"/>
              </w:rPr>
              <w:t xml:space="preserve">6 months after the end of each reference quarter. Every year, the 30 June ERP is further disaggregated by sex and single year of age, and is made available 5</w:t>
            </w:r>
            <w:r>
              <w:rPr>
                <w:rStyle w:val="row-content-rich-text"/>
              </w:rPr>
              <w:t xml:space="preserve">–</w:t>
            </w:r>
            <w:r>
              <w:rPr>
                <w:rStyle w:val="row-content-rich-text"/>
              </w:rPr>
              <w:t xml:space="preserve">6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 available. In the case of births and deaths, the revised data are compiled on a date of occurrence basis. In the case of net overseas migration, final data is based on actual traveller behaviour.  Generally ERP data are not changed once they have been finalised unless there are compelling reasons to do so, as in June 2013 when data from September 1991 to June 2006 were revised (for more information on this recasting process, see the feature article titled </w:t>
            </w:r>
            <w:hyperlink w:history="true" r:id="R8d319dbaa3634a43">
              <w:r>
                <w:rPr>
                  <w:rStyle w:val="Hyperlink"/>
                </w:rPr>
                <w:t xml:space="preserve">Recasting 20 years of ERP</w:t>
              </w:r>
            </w:hyperlink>
            <w:r>
              <w:rPr>
                <w:rStyle w:val="row-content-rich-text"/>
              </w:rPr>
              <w:t xml:space="preserve"> in the December quarter 2012 issue of </w:t>
            </w:r>
            <w:hyperlink w:history="true" r:id="R858347f5176c41ce">
              <w:r>
                <w:rPr>
                  <w:rStyle w:val="Hyperlink"/>
                  <w:i/>
                </w:rPr>
                <w:t xml:space="preserve">Australian Demographic Statistics</w:t>
              </w:r>
            </w:hyperlink>
            <w:r>
              <w:rPr>
                <w:rStyle w:val="row-content-rich-text"/>
              </w:rPr>
              <w:t xml:space="preserve"> (ABS 2013)).</w:t>
            </w:r>
          </w:p>
          <w:p>
            <w:pPr/>
            <w:r>
              <w:rPr>
                <w:rStyle w:val="row-content-rich-text"/>
              </w:rPr>
              <w:t xml:space="preserve">For further information on ABS ERP,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are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2014, the ABS implemented Iris, a new automated coding software product for assisting in the processing of cause of death data. This software has been used to code the 2013, 2014, 2015 and 2016 causes of death data provided in this supply. With the introduction of new coding software, the ABS also implemented the most up to date versions of the ICD-10 when coding 2013 and (2014, 2015 and 2016) data (using the 2013 and 2015 versions, respectively), and improved a number of coding practices to realign with international best practice. See Technical note 1, </w:t>
            </w:r>
            <w:hyperlink w:history="true" r:id="R7225a783cfd64b61">
              <w:r>
                <w:rPr>
                  <w:rStyle w:val="Hyperlink"/>
                </w:rPr>
                <w:t xml:space="preserve">ABS implementation of the Iris software: understanding coding and process improvements</w:t>
              </w:r>
            </w:hyperlink>
            <w:r>
              <w:rPr>
                <w:rStyle w:val="row-content-rich-text"/>
              </w:rPr>
              <w:t xml:space="preserve">, in </w:t>
            </w:r>
            <w:hyperlink w:history="true" r:id="Ra14190993c0a45b8">
              <w:r>
                <w:rPr>
                  <w:rStyle w:val="Hyperlink"/>
                  <w:i/>
                </w:rPr>
                <w:t xml:space="preserve">Causes of death, Australia, 2013</w:t>
              </w:r>
            </w:hyperlink>
            <w:r>
              <w:rPr>
                <w:rStyle w:val="row-content-rich-text"/>
              </w:rPr>
              <w:t xml:space="preserve"> (ABS 2015) for further details.</w:t>
            </w:r>
          </w:p>
          <w:p>
            <w:pPr/>
            <w:r>
              <w:rPr>
                <w:rStyle w:val="row-content-rich-text"/>
              </w:rPr>
              <w:t xml:space="preserve">Data for this indicator have been age-standardised, using the direct method, to 'under 75 years' of age. Direct age-standardisation to the 2001 total Australian population was used (see </w:t>
            </w:r>
            <w:hyperlink w:history="true" r:id="Rfcff08fc420a4300">
              <w:r>
                <w:rPr>
                  <w:rStyle w:val="Hyperlink"/>
                </w:rPr>
                <w:t xml:space="preserve">Data cube: standard population for use in age-standardisation table</w:t>
              </w:r>
            </w:hyperlink>
            <w:r>
              <w:rPr>
                <w:rStyle w:val="row-content-rich-text"/>
              </w:rPr>
              <w:t xml:space="preserve"> in </w:t>
            </w:r>
            <w:hyperlink w:history="true" r:id="R6afc9d0d65194ac5">
              <w:r>
                <w:rPr>
                  <w:rStyle w:val="Hyperlink"/>
                  <w:i/>
                </w:rPr>
                <w:t xml:space="preserve">Australian demographic statistics, Dec 2013</w:t>
              </w:r>
            </w:hyperlink>
            <w:r>
              <w:rPr>
                <w:rStyle w:val="row-content-rich-text"/>
              </w:rPr>
              <w:t xml:space="preserve"> (ABS 2014)).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is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All coroner-certified deaths registered after 1 January 2006 are now subject to a revisions process. In this round of Council of Australian Governments (COAG) reporting, 2011, 2012 and 20132 data are final, 2014 data are revised and 2015 and 2016 data are preliminary. Data for 2014, 2015 and 2016 are subject to further revisions. Prior to 2006 all ABS processing of causes of death data for a particular reference period was finalised approximately 13 months after the end of the reference period. Where insufficient information was available to code a cause of death (e.g. a coroner-certified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coroner-certified deaths, as further information becomes available to the ABS about the causes of these deaths. See technical note: </w:t>
            </w:r>
            <w:hyperlink w:history="true" r:id="R97d5315573de4474">
              <w:r>
                <w:rPr>
                  <w:rStyle w:val="Hyperlink"/>
                </w:rPr>
                <w:t xml:space="preserve">Causes of death revisions 2013 final data</w:t>
              </w:r>
            </w:hyperlink>
            <w:r>
              <w:rPr>
                <w:rStyle w:val="row-content-rich-text"/>
              </w:rPr>
              <w:t xml:space="preserve"> in </w:t>
            </w:r>
            <w:hyperlink w:history="true" r:id="Re25d2ca346f4447f">
              <w:r>
                <w:rPr>
                  <w:rStyle w:val="Hyperlink"/>
                  <w:i/>
                </w:rPr>
                <w:t xml:space="preserve">Causes of death, Australia, 2015</w:t>
              </w:r>
            </w:hyperlink>
            <w:r>
              <w:rPr>
                <w:rStyle w:val="row-content-rich-text"/>
              </w:rPr>
              <w:t xml:space="preserve"> (ABS 2016). The ABS remains committed to revisions of coroner-referred deaths, including the revision of the 2014 and 2015 reference periods. Releases of revised data for these periods will occur in early 2018.</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Note that there are differences between data output in the </w:t>
            </w:r>
            <w:hyperlink w:history="true" r:id="R30f97901bc334c56">
              <w:r>
                <w:rPr>
                  <w:rStyle w:val="Hyperlink"/>
                  <w:i/>
                </w:rPr>
                <w:t xml:space="preserve">Causes of death, Australia, 2010</w:t>
              </w:r>
            </w:hyperlink>
            <w:r>
              <w:rPr>
                <w:rStyle w:val="row-content-rich-text"/>
              </w:rPr>
              <w:t xml:space="preserve">publication (ABS 2012) and 2010 data reported for COAG, as this adjustment was not applied in the publication.  For further details see </w:t>
            </w:r>
            <w:hyperlink w:history="true" r:id="R626dc662708e4e78">
              <w:r>
                <w:rPr>
                  <w:rStyle w:val="Hyperlink"/>
                </w:rPr>
                <w:t xml:space="preserve">Technical Note: Registration of outstanding deaths, Queensland 2010</w:t>
              </w:r>
            </w:hyperlink>
            <w:r>
              <w:rPr>
                <w:rStyle w:val="row-content-rich-text"/>
              </w:rPr>
              <w:t xml:space="preserve">, from the </w:t>
            </w:r>
            <w:hyperlink w:history="true" r:id="Rcb19beca3eb149a2">
              <w:r>
                <w:rPr>
                  <w:rStyle w:val="Hyperlink"/>
                  <w:i/>
                </w:rPr>
                <w:t xml:space="preserve">Deaths, Australia, 2010</w:t>
              </w:r>
            </w:hyperlink>
            <w:r>
              <w:rPr>
                <w:rStyle w:val="row-content-rich-text"/>
              </w:rPr>
              <w:t xml:space="preserve"> publication (ABS 2011) and Explanatory note 103 in the </w:t>
            </w:r>
            <w:hyperlink w:history="true" r:id="Rc85d3a40d819481c">
              <w:r>
                <w:rPr>
                  <w:rStyle w:val="Hyperlink"/>
                  <w:i/>
                </w:rPr>
                <w:t xml:space="preserve">Causes of death, Australia, 2010</w:t>
              </w:r>
            </w:hyperlink>
            <w:r>
              <w:rPr>
                <w:rStyle w:val="row-content-rich-text"/>
              </w:rPr>
              <w:t xml:space="preserve"> publication (ABS 2012).</w:t>
            </w:r>
          </w:p>
          <w:p>
            <w:pPr>
              <w:spacing w:after="160"/>
            </w:pPr>
            <w:r>
              <w:rPr>
                <w:rStyle w:val="row-content-rich-text"/>
              </w:rPr>
              <w:t xml:space="preserve">Investigation conducted by the Western Australia Registrar of Births, Deaths and Marriages indicated that some deaths of non-Indigenous people were wrongly recorded as deaths of Indigenous people in Western Australia for 2007, 2008 and 2009. The ABS discussed this issue with a range of key stakeholders and users of Aboriginal and Torres Strait Islander deaths statistics. Following this discussion, the ABS did not release Western Australia Aboriginal and Torres Strait Islander deaths data for the years 2007, 2008 and 2009 in the 2010 issue of </w:t>
            </w:r>
            <w:hyperlink w:history="true" r:id="R06dad706e41548cc">
              <w:r>
                <w:rPr>
                  <w:rStyle w:val="Hyperlink"/>
                  <w:i/>
                </w:rPr>
                <w:t xml:space="preserve">Deaths, Australia</w:t>
              </w:r>
            </w:hyperlink>
            <w:r>
              <w:rPr>
                <w:rStyle w:val="row-content-rich-text"/>
              </w:rPr>
              <w:t xml:space="preserve">(ABS 2011) publication, or in the 2011 COAG data supply. The Western Australian Registry corrected the data and resupplied the corrected data to the ABS. These corrected data were then released by the ABS in spreadsheets attached to </w:t>
            </w:r>
            <w:hyperlink w:history="true" r:id="R89ca068e98e04c0a">
              <w:r>
                <w:rPr>
                  <w:rStyle w:val="Hyperlink"/>
                  <w:i/>
                </w:rPr>
                <w:t xml:space="preserve">Deaths, Australia, 2010</w:t>
              </w:r>
            </w:hyperlink>
            <w:r>
              <w:rPr>
                <w:rStyle w:val="row-content-rich-text"/>
              </w:rPr>
              <w:t xml:space="preserve"> (ABS 2011) publication on 24 May 2012, and are included in this round of COAG reporting. In addition to that, 3 deaths in Western Australia for 2009 which were wrongly coded as deaths of Indigenous people have been corrected as deaths of non-Indigenous people in previous rounds of COAG reporting.</w:t>
            </w:r>
          </w:p>
          <w:p>
            <w:pPr>
              <w:spacing w:after="160"/>
            </w:pPr>
            <w:r>
              <w:rPr>
                <w:rStyle w:val="row-content-rich-text"/>
              </w:rPr>
              <w:t xml:space="preserve"> </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w:history="true" r:id="Rc93e6786b3c74eba">
              <w:r>
                <w:rPr>
                  <w:rStyle w:val="Hyperlink"/>
                  <w:i/>
                </w:rPr>
                <w:t xml:space="preserve">Demography Working Paper 1998/2 - Quarterly birth and death estimates, 1998</w:t>
              </w:r>
            </w:hyperlink>
            <w:r>
              <w:rPr>
                <w:rStyle w:val="row-content-rich-text"/>
              </w:rPr>
              <w:t xml:space="preserve"> (ABS 1999) and </w:t>
            </w:r>
            <w:hyperlink w:history="true" r:id="Ra55fcefeb20d45eb">
              <w:r>
                <w:rPr>
                  <w:rStyle w:val="Hyperlink"/>
                  <w:i/>
                </w:rPr>
                <w:t xml:space="preserve">Australian Demographic Statistics, December 2013</w:t>
              </w:r>
            </w:hyperlink>
            <w:r>
              <w:rPr>
                <w:rStyle w:val="row-content-rich-text"/>
              </w:rPr>
              <w:t xml:space="preserve"> (ABS 2014).</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In the present tables, non-Indigenous population estimates have been derived by subtracting the 2011 Census-based Indigenous population estimates/projections from the 2011 Census-based total persons ERP. Such figures have a degree of uncertainty and should be used with caution, particularly as the time from the base year of the projection series increases. Total population estimates for 2014, used in the calculation of non-Indigenous comparison rates, are preliminary estimates.</w:t>
            </w:r>
          </w:p>
          <w:p>
            <w:pPr>
              <w:spacing w:after="160"/>
            </w:pPr>
            <w:r>
              <w:rPr>
                <w:rStyle w:val="row-content-rich-text"/>
              </w:rPr>
              <w:t xml:space="preserve">Non-Indigenous data from the Causes of Death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1999. Demography working paper 1998/2 - quarterly birth and death estimates, 1998. ABS cat. no. 3114.0. Canberra: ACS. Viewed 21 June 2017, </w:t>
            </w:r>
            <w:hyperlink w:history="true" r:id="R959c8d47f2264a81">
              <w:r>
                <w:rPr>
                  <w:rStyle w:val="Hyperlink"/>
                </w:rPr>
                <w:t xml:space="preserve">http://www.abs.gov.au/AUSSTATS/abs@.nsf/ProductsbyCatalogue/</w:t>
              </w:r>
              <w:r>
                <w:br/>
              </w:r>
              <w:r>
                <w:rPr>
                  <w:rStyle w:val="row-content-rich-text"/>
                </w:rPr>
                <w:t xml:space="preserve">B5BE54544A5DAFEFCA257061001F4540?OpenDocument</w:t>
              </w:r>
            </w:hyperlink>
            <w:r>
              <w:rPr>
                <w:rStyle w:val="row-content-rich-text"/>
              </w:rPr>
              <w:t xml:space="preserve">.</w:t>
            </w:r>
          </w:p>
          <w:p>
            <w:pPr>
              <w:spacing w:after="160"/>
            </w:pPr>
            <w:r>
              <w:rPr>
                <w:rStyle w:val="row-content-rich-text"/>
              </w:rPr>
              <w:t xml:space="preserve">ABS 2011. Deaths, Australia, 2010. ABS cat. no. 3302.0. Canberra: ABS. Viewed 20 June 2017, </w:t>
            </w:r>
            <w:hyperlink w:history="true" r:id="R90695fd05dab45f1">
              <w:r>
                <w:rPr>
                  <w:rStyle w:val="Hyperlink"/>
                </w:rPr>
                <w:t xml:space="preserve">http://www.abs.gov.au/AUSSTATS/abs@.nsf/allprimarymainfeatures/</w:t>
              </w:r>
              <w:r>
                <w:br/>
              </w:r>
              <w:r>
                <w:rPr>
                  <w:rStyle w:val="row-content-rich-text"/>
                </w:rPr>
                <w:t xml:space="preserve">8CE24F3B3F710F8FCA257AAF0013D433?opendocument</w:t>
              </w:r>
            </w:hyperlink>
            <w:r>
              <w:rPr>
                <w:rStyle w:val="row-content-rich-text"/>
              </w:rPr>
              <w:t xml:space="preserve">.</w:t>
            </w:r>
          </w:p>
          <w:p>
            <w:pPr>
              <w:spacing w:after="160"/>
            </w:pPr>
            <w:r>
              <w:rPr>
                <w:rStyle w:val="row-content-rich-text"/>
              </w:rPr>
              <w:t xml:space="preserve">ABS 2012. Causes of death, Australia, 2010. ABS cat. no. 3303.0. Canberra: ABS. Viewed 20 June 2017, </w:t>
            </w:r>
            <w:hyperlink w:history="true" r:id="Rdaf4b939f5544ec2">
              <w:r>
                <w:rPr>
                  <w:rStyle w:val="Hyperlink"/>
                </w:rPr>
                <w:t xml:space="preserve">http://www.abs.gov.au/AUSSTATS/abs@.nsf/Lookup/3303.0</w:t>
              </w:r>
              <w:r>
                <w:br/>
              </w:r>
              <w:r>
                <w:rPr>
                  <w:rStyle w:val="row-content-rich-text"/>
                </w:rPr>
                <w:t xml:space="preserve">Main+Features12010?OpenDocument</w:t>
              </w:r>
            </w:hyperlink>
            <w:r>
              <w:rPr>
                <w:rStyle w:val="row-content-rich-text"/>
              </w:rPr>
              <w:t xml:space="preserve">.</w:t>
            </w:r>
          </w:p>
          <w:p>
            <w:pPr>
              <w:spacing w:after="160"/>
            </w:pPr>
            <w:r>
              <w:rPr>
                <w:rStyle w:val="row-content-rich-text"/>
              </w:rPr>
              <w:t xml:space="preserve">ABS 2013. Australian demographic statistics, Dec 2012. ABS cat. no. 3101.0. Canberra: ABS. Viewed 21 June 2017, </w:t>
            </w:r>
            <w:hyperlink w:history="true" r:id="R4a4685466cd54be2">
              <w:r>
                <w:rPr>
                  <w:rStyle w:val="Hyperlink"/>
                </w:rPr>
                <w:t xml:space="preserve">http://www.abs.gov.au/AUSSTATS/abs@.nsf/Previousproducts/</w:t>
              </w:r>
              <w:r>
                <w:br/>
              </w:r>
              <w:r>
                <w:rPr>
                  <w:rStyle w:val="row-content-rich-text"/>
                </w:rPr>
                <w:t xml:space="preserve">3101.0Feature%20Article2Dec%202012?</w:t>
              </w:r>
              <w:r>
                <w:br/>
              </w:r>
              <w:r>
                <w:rPr>
                  <w:rStyle w:val="row-content-rich-text"/>
                </w:rPr>
                <w:t xml:space="preserve">opendocument&amp;tabname=Summary&amp;prodno=3101.0&amp;issue=Dec%</w:t>
              </w:r>
              <w:r>
                <w:br/>
              </w:r>
              <w:r>
                <w:rPr>
                  <w:rStyle w:val="row-content-rich-text"/>
                </w:rPr>
                <w:t xml:space="preserve">202012&amp;num=&amp;view=</w:t>
              </w:r>
            </w:hyperlink>
            <w:r>
              <w:rPr>
                <w:rStyle w:val="row-content-rich-text"/>
              </w:rPr>
              <w:t xml:space="preserve">.</w:t>
            </w:r>
          </w:p>
          <w:p>
            <w:pPr>
              <w:spacing w:after="160"/>
            </w:pPr>
            <w:r>
              <w:rPr>
                <w:rStyle w:val="row-content-rich-text"/>
              </w:rPr>
              <w:t xml:space="preserve">ABS 2014. Australian demographic statistics, Dec 2013. ABS cat. no. 3101.0. Canberra: ABS. Viewed 8 June 2018, </w:t>
            </w:r>
            <w:hyperlink w:history="true" r:id="Rab1142015fbf49da">
              <w:r>
                <w:rPr>
                  <w:rStyle w:val="Hyperlink"/>
                </w:rPr>
                <w:t xml:space="preserve">http://www.abs.gov.au/AUSSTATS/abs@.nsf/allprimarymainfeatures/FA627CA7C5708380CA257D5D0015EB95?opendocument</w:t>
              </w:r>
            </w:hyperlink>
            <w:r>
              <w:rPr>
                <w:rStyle w:val="row-content-rich-text"/>
              </w:rPr>
              <w:t xml:space="preserve">.</w:t>
            </w:r>
          </w:p>
          <w:p>
            <w:pPr>
              <w:spacing w:after="160"/>
            </w:pPr>
            <w:r>
              <w:rPr>
                <w:rStyle w:val="row-content-rich-text"/>
              </w:rPr>
              <w:t xml:space="preserve">ABS 2015. Causes of death, Australia, 2013. ABS cat. no. 3303.0. Canberra: ABS. Viewed 21 June 2017, </w:t>
            </w:r>
            <w:hyperlink w:history="true" r:id="R0d1e6363b1b54e55">
              <w:r>
                <w:rPr>
                  <w:rStyle w:val="Hyperlink"/>
                </w:rPr>
                <w:t xml:space="preserve">http://www.abs.gov.au/AUSSTATS/abs@.nsf/allprimarymainfeatures/</w:t>
              </w:r>
              <w:r>
                <w:br/>
              </w:r>
              <w:r>
                <w:rPr>
                  <w:rStyle w:val="row-content-rich-text"/>
                </w:rPr>
                <w:t xml:space="preserve">80A033B8145BCD76CA257F6F000D0C6A?opendocument</w:t>
              </w:r>
            </w:hyperlink>
            <w:r>
              <w:rPr>
                <w:rStyle w:val="row-content-rich-text"/>
              </w:rPr>
              <w:t xml:space="preserve">.</w:t>
            </w:r>
          </w:p>
          <w:p>
            <w:pPr>
              <w:spacing w:after="160"/>
            </w:pPr>
            <w:r>
              <w:rPr>
                <w:rStyle w:val="row-content-rich-text"/>
              </w:rPr>
              <w:t xml:space="preserve">ABS 2016. Causes of death, Australia, 2015. ABS cat. no. 3303.0. Canberra: ABS. Viewed 20 June 2017, </w:t>
            </w:r>
            <w:hyperlink w:history="true" r:id="Redc4fa23f3dd4413">
              <w:r>
                <w:rPr>
                  <w:rStyle w:val="Hyperlink"/>
                </w:rPr>
                <w:t xml:space="preserve">http://www.abs.gov.au/ausstats/abs@.nsf/Lookup/by%20Subject/3303.0~2015~Main%20Features~Summary%20of%20findings~1</w:t>
              </w:r>
            </w:hyperlink>
            <w:r>
              <w:rPr>
                <w:rStyle w:val="row-content-rich-text"/>
              </w:rPr>
              <w:t xml:space="preserve">.</w:t>
            </w:r>
          </w:p>
          <w:p>
            <w:pPr/>
            <w:r>
              <w:rPr>
                <w:rStyle w:val="row-content-rich-text"/>
              </w:rPr>
              <w:t xml:space="preserve">ABS 2017. Causes of death, Australia, 2016. ABS cat. no. 3303.0. Canberra: ABS. Viewed 8 June 2018, </w:t>
            </w:r>
            <w:hyperlink w:history="true" r:id="R22bddaf383da4f40">
              <w:r>
                <w:rPr>
                  <w:rStyle w:val="Hyperlink"/>
                </w:rPr>
                <w:t xml:space="preserve">http://www.abs.gov.au/AUSSTATS/abs@.nsf/allprimarymainfeatures/47E19CA15036B04BCA2577570014668B?opendocument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3e6145fe724800">
              <w:r>
                <w:rPr>
                  <w:rStyle w:val="Hyperlink"/>
                </w:rPr>
                <w:t xml:space="preserve">National Healthcare Agreement: PI 16-Potentially avoidable deaths, 2017 QS</w:t>
              </w:r>
            </w:hyperlink>
          </w:p>
          <w:p>
            <w:pPr>
              <w:pStyle w:val="registration-status"/>
              <w:spacing w:before="0" w:after="0"/>
            </w:pPr>
            <w:hyperlink w:history="true" r:id="R4e2dcd319d994a34">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5c3e8930e8a49fe">
              <w:r>
                <w:rPr>
                  <w:rStyle w:val="Hyperlink"/>
                </w:rPr>
                <w:t xml:space="preserve">National Healthcare Agreement: PI 16–Potentially avoidable deaths, 2018</w:t>
              </w:r>
            </w:hyperlink>
          </w:p>
          <w:p>
            <w:pPr>
              <w:pStyle w:val="registration-status"/>
              <w:spacing w:before="0" w:after="0"/>
            </w:pPr>
            <w:hyperlink w:history="true" r:id="R77eafdafa8474b57">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374510efb29a41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dff780c1d946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4510efb29a412c" /><Relationship Type="http://schemas.openxmlformats.org/officeDocument/2006/relationships/header" Target="/word/header1.xml" Id="R6b5828f1c5734d77" /><Relationship Type="http://schemas.openxmlformats.org/officeDocument/2006/relationships/settings" Target="/word/settings.xml" Id="Ra0c2cd8923364aff" /><Relationship Type="http://schemas.openxmlformats.org/officeDocument/2006/relationships/styles" Target="/word/styles.xml" Id="Rc4c4663d6b26491b" /><Relationship Type="http://schemas.openxmlformats.org/officeDocument/2006/relationships/hyperlink" Target="https://meteor-uat.aihw.gov.au/RegistrationAuthority/14" TargetMode="External" Id="R583db0c5a13445a2" /><Relationship Type="http://schemas.openxmlformats.org/officeDocument/2006/relationships/hyperlink" Target="http://www.legislation.gov.au/Series/C1905A00015" TargetMode="External" Id="R1b921f3382104f0a" /><Relationship Type="http://schemas.openxmlformats.org/officeDocument/2006/relationships/hyperlink" Target="http://www.abs.gov.au/websitedbs/d3310114.nsf/4a256353001af3ed4b2562bb00121564/10ca14cb967e5b83ca2573ae00197b65!OpenDocument" TargetMode="External" Id="Rb0ee58f7f2d94ebb" /><Relationship Type="http://schemas.openxmlformats.org/officeDocument/2006/relationships/hyperlink" Target="http://www.abs.gov.au/AUSSTATS/abs@.nsf/Previousproducts/3303.0Technical Note12015?opendocument&amp;tabname=Notes&amp;prodno=3303.0&amp;issue=2015&amp;num=&amp;view=" TargetMode="External" Id="R62208c4940cc46ba" /><Relationship Type="http://schemas.openxmlformats.org/officeDocument/2006/relationships/hyperlink" Target="http://www.abs.gov.au/AUSSTATS/abs@.nsf/Lookup/3303.0Main+Features100012015?OpenDocument" TargetMode="External" Id="Rd28fb14f18774e94" /><Relationship Type="http://schemas.openxmlformats.org/officeDocument/2006/relationships/hyperlink" Target="http://www.abs.gov.au/AUSSTATS/abs@.nsf/Previousproducts/3303.0Technical Note22015?opendocument&amp;tabname=Notes&amp;prodno=3303.0&amp;issue=2015&amp;num=&amp;view=COD.docx" TargetMode="External" Id="Rd007c1227dce4059" /><Relationship Type="http://schemas.openxmlformats.org/officeDocument/2006/relationships/hyperlink" Target="http://www.abs.gov.au/AUSSTATS/abs@.nsf/Lookup/3303.0Main+Features100012015?OpenDocument" TargetMode="External" Id="Rca3e4dfc5cc347a4" /><Relationship Type="http://schemas.openxmlformats.org/officeDocument/2006/relationships/hyperlink" Target="http://www.abs.gov.au/AUSSTATS/abs@.nsf/allprimarymainfeatures/47E19CA15036B04BCA2577570014668B?opendocument" TargetMode="External" Id="R0c3327cc97dd4e2a" /><Relationship Type="http://schemas.openxmlformats.org/officeDocument/2006/relationships/hyperlink" Target="http://www.abs.gov.au/AUSSTATS/abs@.nsf/Previousproducts/3101.0Feature Article2Dec 2012?opendocument&amp;tabname=Summary&amp;prodno=3101.0&amp;issue=Dec 2012&amp;num=&amp;view=" TargetMode="External" Id="R8d319dbaa3634a43" /><Relationship Type="http://schemas.openxmlformats.org/officeDocument/2006/relationships/hyperlink" Target="http://www.abs.gov.au/AUSSTATS/abs@.nsf/allprimarymainfeatures/7B8C452A1CDFAB9FCA257BF100136758?opendocument" TargetMode="External" Id="R858347f5176c41ce" /><Relationship Type="http://schemas.openxmlformats.org/officeDocument/2006/relationships/hyperlink" Target="http://www.abs.gov.au/AUSSTATS/abs@.nsf/Previousproducts/3303.0Technical Note12013?opendocument&amp;tabname=Notes&amp;prodno=3303.0&amp;issue=2013&amp;num=&amp;view=" TargetMode="External" Id="R7225a783cfd64b61" /><Relationship Type="http://schemas.openxmlformats.org/officeDocument/2006/relationships/hyperlink" Target="http://www.abs.gov.au/AUSSTATS/abs@.nsf/Lookup/3303.0Main+Features12013?OpenDocument" TargetMode="External" Id="Ra14190993c0a45b8" /><Relationship Type="http://schemas.openxmlformats.org/officeDocument/2006/relationships/hyperlink" Target="http://www.abs.gov.au/AUSSTATS/abs@.nsf/DetailsPage/3101.0Dec 2013?OpenDocument" TargetMode="External" Id="Rfcff08fc420a4300" /><Relationship Type="http://schemas.openxmlformats.org/officeDocument/2006/relationships/hyperlink" Target="http://www.abs.gov.au/AUSSTATS/abs@.nsf/Lookup/3101.0Main+Features1Dec 2013?OpenDocument" TargetMode="External" Id="R6afc9d0d65194ac5" /><Relationship Type="http://schemas.openxmlformats.org/officeDocument/2006/relationships/hyperlink" Target="http://www.abs.gov.au/AUSSTATS/abs@.nsf/Previousproducts/3303.0Technical Note22015?opendocument&amp;tabname=Notes&amp;prodno=3303.0&amp;issue=2015&amp;num=&amp;view=COD.docx" TargetMode="External" Id="R97d5315573de4474" /><Relationship Type="http://schemas.openxmlformats.org/officeDocument/2006/relationships/hyperlink" Target="http://www.abs.gov.au/ausstats/abs@.nsf/Lookup/by Subject/3303.0~2015~Main Features~Summary of findings~1" TargetMode="External" Id="Re25d2ca346f4447f" /><Relationship Type="http://schemas.openxmlformats.org/officeDocument/2006/relationships/hyperlink" Target="http://www.abs.gov.au/AUSSTATS/abs@.nsf/allprimarymainfeatures/F941C630073EA7A8CA257B2E000D80F0?opendocument" TargetMode="External" Id="R30f97901bc334c56" /><Relationship Type="http://schemas.openxmlformats.org/officeDocument/2006/relationships/hyperlink" Target="http://www.abs.gov.au/AUSSTATS/abs@.nsf/Previousproducts/3302.0Technical Note12010?opendocument&amp;tabname=Notes&amp;prodno=3302.0&amp;issue=2010&amp;num=&amp;view=" TargetMode="External" Id="R626dc662708e4e78" /><Relationship Type="http://schemas.openxmlformats.org/officeDocument/2006/relationships/hyperlink" Target="http://www.abs.gov.au/AUSSTATS/abs@.nsf/allprimarymainfeatures/8CE24F3B3F710F8FCA257AAF0013D433?opendocument" TargetMode="External" Id="Rcb19beca3eb149a2" /><Relationship Type="http://schemas.openxmlformats.org/officeDocument/2006/relationships/hyperlink" Target="http://www.abs.gov.au/AUSSTATS/abs@.nsf/allprimarymainfeatures/F941C630073EA7A8CA257B2E000D80F0?opendocument" TargetMode="External" Id="Rc85d3a40d819481c" /><Relationship Type="http://schemas.openxmlformats.org/officeDocument/2006/relationships/hyperlink" Target="http://www.abs.gov.au/AUSSTATS/abs@.nsf/Lookup/3302.0Main+Features12010?OpenDocument" TargetMode="External" Id="R06dad706e41548cc" /><Relationship Type="http://schemas.openxmlformats.org/officeDocument/2006/relationships/hyperlink" Target="http://www.abs.gov.au/AUSSTATS/abs@.nsf/Lookup/3302.0Main+Features12010?OpenDocument" TargetMode="External" Id="R89ca068e98e04c0a" /><Relationship Type="http://schemas.openxmlformats.org/officeDocument/2006/relationships/hyperlink" Target="http://www.abs.gov.au/AUSSTATS/abs@.nsf/ProductsbyCatalogue/B5BE54544A5DAFEFCA257061001F4540?OpenDocument" TargetMode="External" Id="Rc93e6786b3c74eba" /><Relationship Type="http://schemas.openxmlformats.org/officeDocument/2006/relationships/hyperlink" Target="http://www.abs.gov.au/AUSSTATS/abs@.nsf/allprimarymainfeatures/FA627CA7C5708380CA257D5D0015EB95?opendocument" TargetMode="External" Id="Ra55fcefeb20d45eb" /><Relationship Type="http://schemas.openxmlformats.org/officeDocument/2006/relationships/hyperlink" Target="http://www.abs.gov.au/AUSSTATS/abs@.nsf/ProductsbyCatalogue/B5BE54544A5DAFEFCA257061001F4540?OpenDocument" TargetMode="External" Id="R959c8d47f2264a81" /><Relationship Type="http://schemas.openxmlformats.org/officeDocument/2006/relationships/hyperlink" Target="http://www.abs.gov.au/AUSSTATS/abs@.nsf/allprimarymainfeatures/8CE24F3B3F710F8FCA257AAF0013D433?opendocument" TargetMode="External" Id="R90695fd05dab45f1" /><Relationship Type="http://schemas.openxmlformats.org/officeDocument/2006/relationships/hyperlink" Target="http://www.abs.gov.au/AUSSTATS/abs@.nsf/Lookup/3303.0Main+Features12010?OpenDocument" TargetMode="External" Id="Rdaf4b939f5544ec2" /><Relationship Type="http://schemas.openxmlformats.org/officeDocument/2006/relationships/hyperlink" Target="http://www.abs.gov.au/AUSSTATS/abs@.nsf/Previousproducts/3101.0Feature Article2Dec 2012?opendocument&amp;tabname=Summary&amp;prodno=3101.0&amp;issue=Dec 2012&amp;num=&amp;view" TargetMode="External" Id="R4a4685466cd54be2" /><Relationship Type="http://schemas.openxmlformats.org/officeDocument/2006/relationships/hyperlink" Target="http://www.abs.gov.au/AUSSTATS/abs@.nsf/allprimarymainfeatures/FA627CA7C5708380CA257D5D0015EB95?opendocument" TargetMode="External" Id="Rab1142015fbf49da" /><Relationship Type="http://schemas.openxmlformats.org/officeDocument/2006/relationships/hyperlink" Target="http://www.abs.gov.au/AUSSTATS/abs@.nsf/allprimarymainfeatures/80A033B8145BCD76CA257F6F000D0C6A?opendocument" TargetMode="External" Id="R0d1e6363b1b54e55" /><Relationship Type="http://schemas.openxmlformats.org/officeDocument/2006/relationships/hyperlink" Target="http://www.abs.gov.au/ausstats/abs@.nsf/Lookup/by Subject/3303.0~2015~Main Features~Summary of findings~1" TargetMode="External" Id="Redc4fa23f3dd4413" /><Relationship Type="http://schemas.openxmlformats.org/officeDocument/2006/relationships/hyperlink" Target="http://www.abs.gov.au/AUSSTATS/abs@.nsf/allprimarymainfeatures/47E19CA15036B04BCA2577570014668B?opendocument" TargetMode="External" Id="R22bddaf383da4f40" /><Relationship Type="http://schemas.openxmlformats.org/officeDocument/2006/relationships/hyperlink" Target="https://meteor-uat.aihw.gov.au/content/630433" TargetMode="External" Id="Rb13e6145fe724800" /><Relationship Type="http://schemas.openxmlformats.org/officeDocument/2006/relationships/hyperlink" Target="https://meteor-uat.aihw.gov.au/RegistrationAuthority/14" TargetMode="External" Id="R4e2dcd319d994a34" /><Relationship Type="http://schemas.openxmlformats.org/officeDocument/2006/relationships/hyperlink" Target="https://meteor-uat.aihw.gov.au/content/658503" TargetMode="External" Id="R75c3e8930e8a49fe" /><Relationship Type="http://schemas.openxmlformats.org/officeDocument/2006/relationships/hyperlink" Target="https://meteor-uat.aihw.gov.au/RegistrationAuthority/14" TargetMode="External" Id="R77eafdafa8474b57" /></Relationships>
</file>

<file path=word/_rels/header1.xml.rels>&#65279;<?xml version="1.0" encoding="utf-8"?><Relationships xmlns="http://schemas.openxmlformats.org/package/2006/relationships"><Relationship Type="http://schemas.openxmlformats.org/officeDocument/2006/relationships/image" Target="/media/image.png" Id="Rf1dff780c1d94690" /></Relationships>
</file>