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0e779f462a45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ca0af33a5431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it could only be calculated for public hospitals and for readmissions to the same hospital</w:t>
            </w:r>
            <w:r>
              <w:br/>
            </w:r>
            <w:r>
              <w:rPr>
                <w:rStyle w:val="row-content-rich-text"/>
              </w:rPr>
              <w:t xml:space="preserve">– episodes of non-admitted patient care provided in outpatient clinics or emergency departments which may have been related to a previous admission are not included.</w:t>
            </w:r>
            <w:r>
              <w:br/>
            </w:r>
            <w:r>
              <w:rPr>
                <w:rStyle w:val="row-content-rich-text"/>
              </w:rPr>
              <w:t xml:space="preserve">– the unplanned and/or unexpected readmissions are limited to those having a principal diagnosis of a post-operative adverse event for which a specified diagnosis code from the International Statistical Classification of Diseases and Related Health Problems, Tenth Revision, Australian Modification (ICD-10-AM)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Western Australia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In 2015, the Australian Institute of Health and Welfare (AIHW) developed a revised peer grouping for analysing and interpreting hospitals statistics and performance information. (See </w:t>
            </w:r>
            <w:hyperlink w:history="true" r:id="Rcac0457882de4dba">
              <w:r>
                <w:rPr>
                  <w:rStyle w:val="Hyperlink"/>
                  <w:i/>
                </w:rPr>
                <w:t xml:space="preserve">Australian Hospital Peer Groups</w:t>
              </w:r>
            </w:hyperlink>
            <w:r>
              <w:rPr>
                <w:rStyle w:val="row-content-rich-text"/>
              </w:rPr>
              <w:t xml:space="preserve">(AIHW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67562db0f554db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16bb401b21e47a8">
              <w:r>
                <w:rPr>
                  <w:rStyle w:val="Hyperlink"/>
                  <w:i/>
                </w:rPr>
                <w:t xml:space="preserve">Australian Institute of Health and Welfare Act 1987</w:t>
              </w:r>
            </w:hyperlink>
            <w:r>
              <w:rPr>
                <w:rStyle w:val="row-content-rich-text"/>
              </w:rPr>
              <w:t xml:space="preserve">, in conjunction with compliance to the </w:t>
            </w:r>
            <w:hyperlink w:history="true" r:id="Rafc48f32e43c4d45">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d3fb8ff807d4ed4">
              <w:r>
                <w:rPr>
                  <w:rStyle w:val="Hyperlink"/>
                </w:rPr>
                <w:t xml:space="preserve">www.aihw.gov.au</w:t>
              </w:r>
            </w:hyperlink>
            <w:r>
              <w:rPr>
                <w:rStyle w:val="row-content-rich-text"/>
              </w:rPr>
              <w:t xml:space="preserve">.</w:t>
            </w:r>
          </w:p>
          <w:p>
            <w:pPr>
              <w:spacing w:after="160"/>
            </w:pPr>
            <w:r>
              <w:rPr>
                <w:rStyle w:val="row-content-rich-text"/>
              </w:rPr>
              <w:t xml:space="preserve">Data for the National Hospital Morbidity Database (NHMD) were supplied to the AIHW by state and territory health authorities under the terms of the National Health Information Agreement (see the following links):</w:t>
            </w:r>
            <w:r>
              <w:br/>
            </w:r>
            <w:hyperlink w:history="true" r:id="Rcdbb2441c704436b">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6e325be49f8f4190">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hyperlink w:history="true" r:id="Ra48225f6f6fd49f0">
              <w:r>
                <w:rPr>
                  <w:rStyle w:val="Hyperlink"/>
                  <w:i/>
                </w:rPr>
                <w:t xml:space="preserve">Australian hospital statistics</w:t>
              </w:r>
            </w:hyperlink>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r>
              <w:br/>
            </w:r>
            <w:hyperlink w:history="true" r:id="R031eb59b19634b36">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2014–15 NHMD can be accessed on the AIHW website at:</w:t>
            </w:r>
            <w:r>
              <w:br/>
            </w:r>
            <w:hyperlink w:history="true" r:id="R5906e26c4d9e4d80">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4 related procedures that are not defined for the indicator, and therefore have not been included in any National Healthcare Agreement (NHA) reporting (all years). These are (in Australian Classification of Health Interventions (ACHI) 9th edition), 35750-00—Laparoscopically assisted vaginal hysterectomy; 35753-02—Laparoscopically assisted vaginal hysterectomy with removal of adnexa; 35653-00—Subtotal abdominal hysterectomy; and 90448-00—Subtotal laparoscopic abdominal hysterectomy. For public hospitals, there were 6,873 separations in 2015–16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2015–16 financial year had to be linked to an initial separation (which involved the specified surgery) that occurred within the 2015–16 financial year.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ACHI.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 </w:t>
            </w:r>
          </w:p>
          <w:p>
            <w:pPr>
              <w:pStyle w:val="ListParagraph"/>
              <w:numPr>
                <w:ilvl w:val="0"/>
                <w:numId w:val="4"/>
              </w:numPr>
            </w:pPr>
            <w:r>
              <w:rPr>
                <w:rStyle w:val="row-content-rich-text"/>
              </w:rPr>
              <w:t xml:space="preserve">rates were suppressed where the numerator was zero and the denominator was less than 200. </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f4b5ce41129e49db">
              <w:r>
                <w:rPr>
                  <w:rStyle w:val="Hyperlink"/>
                  <w:i/>
                </w:rPr>
                <w:t xml:space="preserve">Admitted patient care 2015–16: Australian hospital statistics</w:t>
              </w:r>
            </w:hyperlink>
            <w:r>
              <w:rPr>
                <w:rStyle w:val="row-content-rich-text"/>
              </w:rPr>
              <w:t xml:space="preserve">(AIHW 2017).</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2015, the AIHW developed a revised peer grouping for analysing and interpreting hospitals statistics and performance information. (See 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 Data based on the current AIHW peer group classification were backcast to 2007–08 for the 2015 report.</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2015. Australian hospital peer groups. Cat. no. HSE 170. Canberra: AIHW. Viewed 26 June 2017, </w:t>
            </w:r>
            <w:hyperlink w:history="true" r:id="R1c8bd681d7a345aa">
              <w:r>
                <w:rPr>
                  <w:rStyle w:val="Hyperlink"/>
                </w:rPr>
                <w:t xml:space="preserve">http://www.aihw.gov.au/publication-detail/?id=60129553446</w:t>
              </w:r>
            </w:hyperlink>
            <w:r>
              <w:rPr>
                <w:rStyle w:val="row-content-rich-text"/>
              </w:rPr>
              <w:t xml:space="preserve">.</w:t>
            </w:r>
          </w:p>
          <w:p>
            <w:pPr/>
            <w:r>
              <w:rPr>
                <w:rStyle w:val="row-content-rich-text"/>
              </w:rPr>
              <w:t xml:space="preserve">AIHW 2017. Admitted patient care 2015–16: Australian hospital statistics. Cat. no. HSE 185. Canberra: AIHW. Viewed 8 November 2017, </w:t>
            </w:r>
            <w:hyperlink w:history="true" r:id="R5c6067a51df646c0">
              <w:r>
                <w:rPr>
                  <w:rStyle w:val="Hyperlink"/>
                </w:rPr>
                <w:t xml:space="preserve">https://www.aihw.gov.au/reports/hospitals/ahs-2015-16-admitted-patient-care/contents/table-of-contents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b21ce10f9c4f30">
              <w:r>
                <w:rPr>
                  <w:rStyle w:val="Hyperlink"/>
                </w:rPr>
                <w:t xml:space="preserve">National Healthcare Agreement: PI 23-Unplanned hospital readmission rates, 2017 QS</w:t>
              </w:r>
            </w:hyperlink>
          </w:p>
          <w:p>
            <w:pPr>
              <w:pStyle w:val="registration-status"/>
              <w:spacing w:before="0" w:after="0"/>
            </w:pPr>
            <w:hyperlink w:history="true" r:id="R486c33a1c2164e81">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87daf85a8245d8">
              <w:r>
                <w:rPr>
                  <w:rStyle w:val="Hyperlink"/>
                </w:rPr>
                <w:t xml:space="preserve">National Healthcare Agreement: PI 23–Unplanned hospital readmission rates, 2018</w:t>
              </w:r>
            </w:hyperlink>
          </w:p>
          <w:p>
            <w:pPr>
              <w:pStyle w:val="registration-status"/>
              <w:spacing w:before="0" w:after="0"/>
            </w:pPr>
            <w:hyperlink w:history="true" r:id="R105372e3710648a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4434a22007a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6dfafb434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34a22007a48c3" /><Relationship Type="http://schemas.openxmlformats.org/officeDocument/2006/relationships/header" Target="/word/header1.xml" Id="Rdbc8a46bd038444b" /><Relationship Type="http://schemas.openxmlformats.org/officeDocument/2006/relationships/settings" Target="/word/settings.xml" Id="R2cb6665adf1f4f71" /><Relationship Type="http://schemas.openxmlformats.org/officeDocument/2006/relationships/styles" Target="/word/styles.xml" Id="R7d4d383c9dc54454" /><Relationship Type="http://schemas.openxmlformats.org/officeDocument/2006/relationships/numbering" Target="/word/numbering.xml" Id="R010dc66c4da7494f" /><Relationship Type="http://schemas.openxmlformats.org/officeDocument/2006/relationships/hyperlink" Target="https://meteor-uat.aihw.gov.au/RegistrationAuthority/14" TargetMode="External" Id="Rc72ca0af33a54316" /><Relationship Type="http://schemas.openxmlformats.org/officeDocument/2006/relationships/hyperlink" Target="http://www.aihw.gov.au/publication-detail/?id=60129553446" TargetMode="External" Id="Rcac0457882de4dba" /><Relationship Type="http://schemas.openxmlformats.org/officeDocument/2006/relationships/hyperlink" Target="https://www.legislation.gov.au/Series/C2004A03450" TargetMode="External" Id="R567562db0f554dbf" /><Relationship Type="http://schemas.openxmlformats.org/officeDocument/2006/relationships/hyperlink" Target="https://www.legislation.gov.au/Series/C2004A03450" TargetMode="External" Id="Rc16bb401b21e47a8" /><Relationship Type="http://schemas.openxmlformats.org/officeDocument/2006/relationships/hyperlink" Target="https://www.legislation.gov.au/Series/C2004A03712" TargetMode="External" Id="Rafc48f32e43c4d45" /><Relationship Type="http://schemas.openxmlformats.org/officeDocument/2006/relationships/hyperlink" Target="http://www.aihw.gov.au/" TargetMode="External" Id="Rcd3fb8ff807d4ed4" /><Relationship Type="http://schemas.openxmlformats.org/officeDocument/2006/relationships/hyperlink" Target="https://meteor-uat.aihw.gov.au/content/182135" TargetMode="External" Id="Rcdbb2441c704436b" /><Relationship Type="http://schemas.openxmlformats.org/officeDocument/2006/relationships/hyperlink" Target="http://www.aihw.gov.au/hospitals/" TargetMode="External" Id="R6e325be49f8f4190" /><Relationship Type="http://schemas.openxmlformats.org/officeDocument/2006/relationships/hyperlink" Target="http://www.aihw.gov.au/hospitals/australian-hospital-statistics/" TargetMode="External" Id="Ra48225f6f6fd49f0" /><Relationship Type="http://schemas.openxmlformats.org/officeDocument/2006/relationships/hyperlink" Target="https://meteor-uat.aihw.gov.au/content/268110" TargetMode="External" Id="R031eb59b19634b36" /><Relationship Type="http://schemas.openxmlformats.org/officeDocument/2006/relationships/hyperlink" Target="https://meteor-uat.aihw.gov.au/content/638202" TargetMode="External" Id="R5906e26c4d9e4d80" /><Relationship Type="http://schemas.openxmlformats.org/officeDocument/2006/relationships/hyperlink" Target="https://www.aihw.gov.au/reports/hospitals/ahs-2015-16-admitted-patient-care/contents/table-of-contents" TargetMode="External" Id="Rf4b5ce41129e49db" /><Relationship Type="http://schemas.openxmlformats.org/officeDocument/2006/relationships/hyperlink" Target="http://www.aihw.gov.au/publication-detail/?id=60129553446" TargetMode="External" Id="R1c8bd681d7a345aa" /><Relationship Type="http://schemas.openxmlformats.org/officeDocument/2006/relationships/hyperlink" Target="https://www.aihw.gov.au/reports/hospitals/ahs-2015-16-admitted-patient-care/contents/table-of-contents" TargetMode="External" Id="R5c6067a51df646c0" /><Relationship Type="http://schemas.openxmlformats.org/officeDocument/2006/relationships/hyperlink" Target="https://meteor-uat.aihw.gov.au/content/630507" TargetMode="External" Id="Rfcb21ce10f9c4f30" /><Relationship Type="http://schemas.openxmlformats.org/officeDocument/2006/relationships/hyperlink" Target="https://meteor-uat.aihw.gov.au/RegistrationAuthority/14" TargetMode="External" Id="R486c33a1c2164e81" /><Relationship Type="http://schemas.openxmlformats.org/officeDocument/2006/relationships/hyperlink" Target="https://meteor-uat.aihw.gov.au/content/658485" TargetMode="External" Id="R8287daf85a8245d8" /><Relationship Type="http://schemas.openxmlformats.org/officeDocument/2006/relationships/hyperlink" Target="https://meteor-uat.aihw.gov.au/RegistrationAuthority/14" TargetMode="External" Id="R105372e3710648a3" /></Relationships>
</file>

<file path=word/_rels/header1.xml.rels>&#65279;<?xml version="1.0" encoding="utf-8"?><Relationships xmlns="http://schemas.openxmlformats.org/package/2006/relationships"><Relationship Type="http://schemas.openxmlformats.org/officeDocument/2006/relationships/image" Target="/media/image.png" Id="Rf016dfafb43441e1" /></Relationships>
</file>