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3493f7bccf4f50"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2018–19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2018–19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3cd874e571c34261">
                    <w:r>
                      <w:rPr>
                        <w:rStyle w:val="Hyperlink"/>
                      </w:rPr>
                      <w:t xml:space="preserve">Local Hospital Networks data element cluster</w:t>
                    </w:r>
                  </w:hyperlink>
                </w:p>
              </w:tc>
              <w:tc>
                <w:tcPr>
                  <w:vAlign w:val="top"/>
                </w:tcPr>
                <w:p>
                  <w:r>
                    <w:t xml:space="preserve">679215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fe5fd2003084c90">
                    <w:r>
                      <w:rPr>
                        <w:rStyle w:val="Hyperlink"/>
                      </w:rPr>
                      <w:t xml:space="preserve">Full-time equivalent staffing data element cluster</w:t>
                    </w:r>
                  </w:hyperlink>
                </w:p>
              </w:tc>
              <w:tc>
                <w:tcPr>
                  <w:vAlign w:val="top"/>
                </w:tcPr>
                <w:p>
                  <w:r>
                    <w:t xml:space="preserve">616025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7ace484f99f442d2">
                    <w:r>
                      <w:rPr>
                        <w:rStyle w:val="Hyperlink"/>
                      </w:rPr>
                      <w:t xml:space="preserve">Average number of full-time equivalent staff</w:t>
                    </w:r>
                  </w:hyperlink>
                </w:p>
              </w:tc>
              <w:tc>
                <w:tcPr>
                  <w:vAlign w:val="top"/>
                </w:tcPr>
                <w:p>
                  <w:r>
                    <w:t xml:space="preserve">615998</w:t>
                  </w:r>
                </w:p>
              </w:tc>
              <w:tc>
                <w:tcPr>
                  <w:vAlign w:val="top"/>
                </w:tcPr>
                <w:p>
                  <w:r>
                    <w:t xml:space="preserve">Number
[9]</w:t>
                  </w:r>
                </w:p>
              </w:tc>
              <w:tc>
                <w:tcPr>
                  <w:vAlign w:val="top"/>
                </w:tcPr>
                <w:p>
                  <w:r>
                    <w:t xml:space="preserve">N[N(7){.N}]</w:t>
                  </w:r>
                  <w:r>
                    <w:br/>
                  </w:r>
                  <w:r>
                    <w:t xml:space="preserve">A numeric value representing the arithmetic mean of full-time equivalent units.</w:t>
                  </w:r>
                </w:p>
              </w:tc>
            </w:tr>
            <w:tr>
              <w:trPr/>
              <w:tc>
                <w:tcPr>
                  <w:tcMar>
                    <w:right w:w="29" w:type="dxa"/>
                  </w:tcMar>
                  <w:vAlign w:val="top"/>
                </w:tcPr>
                <w:p>
                  <w:pPr>
                    <w:keepNext/>
                    <w:jc w:val="center"/>
                  </w:pPr>
                  <w:r>
                    <w:t xml:space="preserve">            -</w:t>
                  </w:r>
                </w:p>
              </w:tc>
              <w:tc>
                <w:tcPr>
                  <w:tcMar>
                    <w:left w:w="450" w:type="dxa"/>
                  </w:tcMar>
                  <w:vAlign w:val="top"/>
                </w:tcPr>
                <w:p>
                  <w:hyperlink w:history="true" r:id="Rc9468f765a7d4b28">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0f42bbfb0c247d4">
                    <w:r>
                      <w:rPr>
                        <w:rStyle w:val="Hyperlink"/>
                      </w:rPr>
                      <w:t xml:space="preserve">Recurrent contracted care expenditure data element cluster</w:t>
                    </w:r>
                  </w:hyperlink>
                </w:p>
              </w:tc>
              <w:tc>
                <w:tcPr>
                  <w:vAlign w:val="top"/>
                </w:tcPr>
                <w:p>
                  <w:r>
                    <w:t xml:space="preserve">679211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d928fcdf92094ee6">
                    <w:r>
                      <w:rPr>
                        <w:rStyle w:val="Hyperlink"/>
                      </w:rPr>
                      <w:t xml:space="preserve">Recurrent contracted care expenditure product streams</w:t>
                    </w:r>
                  </w:hyperlink>
                </w:p>
              </w:tc>
              <w:tc>
                <w:tcPr>
                  <w:vAlign w:val="top"/>
                </w:tcPr>
                <w:p>
                  <w:r>
                    <w:t xml:space="preserve">679208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(excluding emergency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(excluding emergency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Admitted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Emergency care services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Depreciation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(out-of-scope for the NHRA)</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23503dd676c14f16">
                    <w:r>
                      <w:rPr>
                        <w:rStyle w:val="Hyperlink"/>
                      </w:rPr>
                      <w:t xml:space="preserve">Recurrent contracted care expenditure in Australian dollars</w:t>
                    </w:r>
                  </w:hyperlink>
                </w:p>
              </w:tc>
              <w:tc>
                <w:tcPr>
                  <w:vAlign w:val="top"/>
                </w:tcPr>
                <w:p>
                  <w:r>
                    <w:t xml:space="preserve">684914</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8d20ebec3fad4ffd">
                    <w:r>
                      <w:rPr>
                        <w:rStyle w:val="Hyperlink"/>
                      </w:rPr>
                      <w:t xml:space="preserve">Recurrent non-salary expenditure data element cluster</w:t>
                    </w:r>
                  </w:hyperlink>
                </w:p>
              </w:tc>
              <w:tc>
                <w:tcPr>
                  <w:vAlign w:val="top"/>
                </w:tcPr>
                <w:p>
                  <w:r>
                    <w:t xml:space="preserve">616030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ea7a19ae10184da9">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5803acb0d244b41">
                    <w:r>
                      <w:rPr>
                        <w:rStyle w:val="Hyperlink"/>
                      </w:rPr>
                      <w:t xml:space="preserve">Recurrent non-salary public hospital expenditure categories</w:t>
                    </w:r>
                  </w:hyperlink>
                </w:p>
              </w:tc>
              <w:tc>
                <w:tcPr>
                  <w:vAlign w:val="top"/>
                </w:tcPr>
                <w:p>
                  <w:r>
                    <w:t xml:space="preserve">542106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expenses -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Administrative expenses - other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Depreciation - building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Depreciation - other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Domestic services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Interest payments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Lease costs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Patient transport costs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Repairs and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Superannuation employer contributions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on-costs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Supplies - drug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Supplies - food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Supplies - medical and surgical</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Visiting medical officer payments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elsewhere recorded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92046549592a4ff6">
                    <w:r>
                      <w:rPr>
                        <w:rStyle w:val="Hyperlink"/>
                      </w:rPr>
                      <w:t xml:space="preserve">Recurrent non-salary expenditure total dollars</w:t>
                    </w:r>
                  </w:hyperlink>
                </w:p>
              </w:tc>
              <w:tc>
                <w:tcPr>
                  <w:vAlign w:val="top"/>
                </w:tcPr>
                <w:p>
                  <w:r>
                    <w:t xml:space="preserve">616003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ec631d28c82b4f55">
                    <w:r>
                      <w:rPr>
                        <w:rStyle w:val="Hyperlink"/>
                      </w:rPr>
                      <w:t xml:space="preserve">Recurrent salaries and wages expenditure data element cluster</w:t>
                    </w:r>
                  </w:hyperlink>
                </w:p>
              </w:tc>
              <w:tc>
                <w:tcPr>
                  <w:vAlign w:val="top"/>
                </w:tcPr>
                <w:p>
                  <w:r>
                    <w:t xml:space="preserve">616033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88a011830f024826">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8749713c733747eb">
                    <w:r>
                      <w:rPr>
                        <w:rStyle w:val="Hyperlink"/>
                      </w:rPr>
                      <w:t xml:space="preserve">Salaries and wages</w:t>
                    </w:r>
                  </w:hyperlink>
                </w:p>
              </w:tc>
              <w:tc>
                <w:tcPr>
                  <w:vAlign w:val="top"/>
                </w:tcPr>
                <w:p>
                  <w:r>
                    <w:t xml:space="preserve">616005</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450" w:type="dxa"/>
                  </w:tcMar>
                  <w:vAlign w:val="top"/>
                </w:tcPr>
                <w:p>
                  <w:hyperlink w:history="true" r:id="Rfe10216b6a324edd">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d13189dfca847dc">
                    <w:r>
                      <w:rPr>
                        <w:rStyle w:val="Hyperlink"/>
                      </w:rPr>
                      <w:t xml:space="preserve">Revenue data element cluster</w:t>
                    </w:r>
                  </w:hyperlink>
                </w:p>
              </w:tc>
              <w:tc>
                <w:tcPr>
                  <w:vAlign w:val="top"/>
                </w:tcPr>
                <w:p>
                  <w:r>
                    <w:t xml:space="preserve">643062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976969b25b5a495a">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8cffb2288694700">
                    <w:r>
                      <w:rPr>
                        <w:rStyle w:val="Hyperlink"/>
                      </w:rPr>
                      <w:t xml:space="preserve">Public hospital recurrent expenditure related revenue categories</w:t>
                    </w:r>
                  </w:hyperlink>
                </w:p>
              </w:tc>
              <w:tc>
                <w:tcPr>
                  <w:vAlign w:val="top"/>
                </w:tcPr>
                <w:p>
                  <w:r>
                    <w:t xml:space="preserve">643082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Compensable schemes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patient revenue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Commonwealth funding/subsidies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or territory health authority funding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state or territory funding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National Health Funding Pool - state or territory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National Health Funding Pool - Commonwealth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Infrastructure/facility fees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recoveries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Revenue not elsewhere reported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81eb54adcd724dbe">
                    <w:r>
                      <w:rPr>
                        <w:rStyle w:val="Hyperlink"/>
                      </w:rPr>
                      <w:t xml:space="preserve">Public hospital recurrent expenditure related revenue in Australian dollars</w:t>
                    </w:r>
                  </w:hyperlink>
                </w:p>
              </w:tc>
              <w:tc>
                <w:tcPr>
                  <w:vAlign w:val="top"/>
                </w:tcPr>
                <w:p>
                  <w:r>
                    <w:t xml:space="preserve">643142</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d014b7c2be5241a4">
                    <w:r>
                      <w:rPr>
                        <w:rStyle w:val="Hyperlink"/>
                      </w:rPr>
                      <w:t xml:space="preserve">Total recurrent expenditure on National Health Reform Agreement product streams data element cluster</w:t>
                    </w:r>
                  </w:hyperlink>
                </w:p>
              </w:tc>
              <w:tc>
                <w:tcPr>
                  <w:vAlign w:val="top"/>
                </w:tcPr>
                <w:p>
                  <w:r>
                    <w:t xml:space="preserve">679213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5e8f11e9519c4a38">
                    <w:r>
                      <w:rPr>
                        <w:rStyle w:val="Hyperlink"/>
                      </w:rPr>
                      <w:t xml:space="preserve">Recurrent expenditure by NHRA product streams</w:t>
                    </w:r>
                  </w:hyperlink>
                </w:p>
              </w:tc>
              <w:tc>
                <w:tcPr>
                  <w:vAlign w:val="top"/>
                </w:tcPr>
                <w:p>
                  <w:r>
                    <w:t xml:space="preserve">679293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(excluding emergency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(excluding emergency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Admitted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Emergency care services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Depreciation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(out-of-scope for the NHRA)</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eb3442bcb05498b">
                    <w:r>
                      <w:rPr>
                        <w:rStyle w:val="Hyperlink"/>
                      </w:rPr>
                      <w:t xml:space="preserve">Total recurrent expenditure in Australian dollars</w:t>
                    </w:r>
                  </w:hyperlink>
                </w:p>
              </w:tc>
              <w:tc>
                <w:tcPr>
                  <w:vAlign w:val="top"/>
                </w:tcPr>
                <w:p>
                  <w:r>
                    <w:t xml:space="preserve">608186</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17740f7129414f39">
                    <w:r>
                      <w:rPr>
                        <w:rStyle w:val="Hyperlink"/>
                      </w:rPr>
                      <w:t xml:space="preserve">Average available beds for admitted contracted care</w:t>
                    </w:r>
                  </w:hyperlink>
                </w:p>
              </w:tc>
              <w:tc>
                <w:tcPr>
                  <w:vAlign w:val="top"/>
                </w:tcPr>
                <w:p>
                  <w:r>
                    <w:t xml:space="preserve">616011</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      -</w:t>
                  </w:r>
                </w:p>
              </w:tc>
              <w:tc>
                <w:tcPr>
                  <w:tcMar>
                    <w:left w:w="225" w:type="dxa"/>
                  </w:tcMar>
                  <w:vAlign w:val="top"/>
                </w:tcPr>
                <w:p>
                  <w:hyperlink w:history="true" r:id="Rb37512a95b604a43">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29b9c5454964acb">
                    <w:r>
                      <w:rPr>
                        <w:rStyle w:val="Hyperlink"/>
                      </w:rPr>
                      <w:t xml:space="preserve">Local Hospital Network identifier</w:t>
                    </w:r>
                  </w:hyperlink>
                </w:p>
              </w:tc>
              <w:tc>
                <w:tcPr>
                  <w:vAlign w:val="top"/>
                </w:tcPr>
                <w:p>
                  <w:r>
                    <w:t xml:space="preserve">680985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26d5681a5084933">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33c0a43f440403b">
                    <w:r>
                      <w:rPr>
                        <w:rStyle w:val="Hyperlink"/>
                      </w:rPr>
                      <w:t xml:space="preserve">Public hospital establishments data element cluster</w:t>
                    </w:r>
                  </w:hyperlink>
                </w:p>
              </w:tc>
              <w:tc>
                <w:tcPr>
                  <w:vAlign w:val="top"/>
                </w:tcPr>
                <w:p>
                  <w:r>
                    <w:t xml:space="preserve">679217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ea649dd41034fe0">
                    <w:r>
                      <w:rPr>
                        <w:rStyle w:val="Hyperlink"/>
                      </w:rPr>
                      <w:t xml:space="preserve">Address details cluster</w:t>
                    </w:r>
                  </w:hyperlink>
                </w:p>
              </w:tc>
              <w:tc>
                <w:tcPr>
                  <w:vAlign w:val="top"/>
                </w:tcPr>
                <w:p>
                  <w:r>
                    <w:t xml:space="preserve">619372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7e507e2c44ec4c10">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05376d9b73c14ce9">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3e5e72fc069b444e">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a555e6097beb489c">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423078ccdbe14970">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450" w:type="dxa"/>
                  </w:tcMar>
                  <w:vAlign w:val="top"/>
                </w:tcPr>
                <w:p>
                  <w:hyperlink w:history="true" r:id="Rbe273b4ca8174efc">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450" w:type="dxa"/>
                  </w:tcMar>
                  <w:vAlign w:val="top"/>
                </w:tcPr>
                <w:p>
                  <w:hyperlink w:history="true" r:id="R3b03cb223cbe4f36">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60bad55ac0344e2">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            -</w:t>
                  </w:r>
                </w:p>
              </w:tc>
              <w:tc>
                <w:tcPr>
                  <w:tcMar>
                    <w:left w:w="450" w:type="dxa"/>
                  </w:tcMar>
                  <w:vAlign w:val="top"/>
                </w:tcPr>
                <w:p>
                  <w:hyperlink w:history="true" r:id="R227eca0c69bd40c1">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daaf0cc9cdfa4e82">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450" w:type="dxa"/>
                  </w:tcMar>
                  <w:vAlign w:val="top"/>
                </w:tcPr>
                <w:p>
                  <w:hyperlink w:history="true" r:id="R808ebd5207c340ec">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450" w:type="dxa"/>
                  </w:tcMar>
                  <w:vAlign w:val="top"/>
                </w:tcPr>
                <w:p>
                  <w:hyperlink w:history="true" r:id="R407d39fa8f154b20">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5dd5a4cfcf804b84">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596589d7a927484c">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450" w:type="dxa"/>
                  </w:tcMar>
                  <w:vAlign w:val="top"/>
                </w:tcPr>
                <w:p>
                  <w:hyperlink w:history="true" r:id="Rf4480e214d644fff">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a7ffb72491424be1">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ab8c9a56cb3845d8">
                    <w:r>
                      <w:rPr>
                        <w:rStyle w:val="Hyperlink"/>
                      </w:rPr>
                      <w:t xml:space="preserve">Full-time equivalent staffing data element cluster</w:t>
                    </w:r>
                  </w:hyperlink>
                </w:p>
              </w:tc>
              <w:tc>
                <w:tcPr>
                  <w:vAlign w:val="top"/>
                </w:tcPr>
                <w:p>
                  <w:r>
                    <w:t xml:space="preserve">616025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5aad34f988254e69">
                    <w:r>
                      <w:rPr>
                        <w:rStyle w:val="Hyperlink"/>
                      </w:rPr>
                      <w:t xml:space="preserve">Average number of full-time equivalent staff</w:t>
                    </w:r>
                  </w:hyperlink>
                </w:p>
              </w:tc>
              <w:tc>
                <w:tcPr>
                  <w:vAlign w:val="top"/>
                </w:tcPr>
                <w:p>
                  <w:r>
                    <w:t xml:space="preserve">615998</w:t>
                  </w:r>
                </w:p>
              </w:tc>
              <w:tc>
                <w:tcPr>
                  <w:vAlign w:val="top"/>
                </w:tcPr>
                <w:p>
                  <w:r>
                    <w:t xml:space="preserve">Number
[9]</w:t>
                  </w:r>
                </w:p>
              </w:tc>
              <w:tc>
                <w:tcPr>
                  <w:vAlign w:val="top"/>
                </w:tcPr>
                <w:p>
                  <w:r>
                    <w:t xml:space="preserve">N[N(7){.N}]</w:t>
                  </w:r>
                  <w:r>
                    <w:br/>
                  </w:r>
                  <w:r>
                    <w:t xml:space="preserve">A numeric value representing the arithmetic mean of full-time equivalent units.</w:t>
                  </w:r>
                </w:p>
              </w:tc>
            </w:tr>
            <w:tr>
              <w:trPr/>
              <w:tc>
                <w:tcPr>
                  <w:tcMar>
                    <w:right w:w="29" w:type="dxa"/>
                  </w:tcMar>
                  <w:vAlign w:val="top"/>
                </w:tcPr>
                <w:p>
                  <w:pPr>
                    <w:keepNext/>
                    <w:jc w:val="center"/>
                  </w:pPr>
                  <w:r>
                    <w:t xml:space="preserve">            -</w:t>
                  </w:r>
                </w:p>
              </w:tc>
              <w:tc>
                <w:tcPr>
                  <w:tcMar>
                    <w:left w:w="450" w:type="dxa"/>
                  </w:tcMar>
                  <w:vAlign w:val="top"/>
                </w:tcPr>
                <w:p>
                  <w:hyperlink w:history="true" r:id="Rf9e7fb4eb52d410b">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a9ab705d2964330">
                    <w:r>
                      <w:rPr>
                        <w:rStyle w:val="Hyperlink"/>
                      </w:rPr>
                      <w:t xml:space="preserve">Recurrent contracted care expenditure data element cluster</w:t>
                    </w:r>
                  </w:hyperlink>
                </w:p>
              </w:tc>
              <w:tc>
                <w:tcPr>
                  <w:vAlign w:val="top"/>
                </w:tcPr>
                <w:p>
                  <w:r>
                    <w:t xml:space="preserve">679211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aa92d498dab5419d">
                    <w:r>
                      <w:rPr>
                        <w:rStyle w:val="Hyperlink"/>
                      </w:rPr>
                      <w:t xml:space="preserve">Recurrent contracted care expenditure product streams</w:t>
                    </w:r>
                  </w:hyperlink>
                </w:p>
              </w:tc>
              <w:tc>
                <w:tcPr>
                  <w:vAlign w:val="top"/>
                </w:tcPr>
                <w:p>
                  <w:r>
                    <w:t xml:space="preserve">679208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(excluding emergency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(excluding emergency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Admitted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Emergency care services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Depreciation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(out-of-scope for the NHRA)</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c35980027dd44997">
                    <w:r>
                      <w:rPr>
                        <w:rStyle w:val="Hyperlink"/>
                      </w:rPr>
                      <w:t xml:space="preserve">Recurrent contracted care expenditure in Australian dollars</w:t>
                    </w:r>
                  </w:hyperlink>
                </w:p>
              </w:tc>
              <w:tc>
                <w:tcPr>
                  <w:vAlign w:val="top"/>
                </w:tcPr>
                <w:p>
                  <w:r>
                    <w:t xml:space="preserve">684914</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ae4fe95d90a64a91">
                    <w:r>
                      <w:rPr>
                        <w:rStyle w:val="Hyperlink"/>
                      </w:rPr>
                      <w:t xml:space="preserve">Recurrent non-salary expenditure data element cluster</w:t>
                    </w:r>
                  </w:hyperlink>
                </w:p>
              </w:tc>
              <w:tc>
                <w:tcPr>
                  <w:vAlign w:val="top"/>
                </w:tcPr>
                <w:p>
                  <w:r>
                    <w:t xml:space="preserve">616030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33140c4694684bfe">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fff6efff615b4b1c">
                    <w:r>
                      <w:rPr>
                        <w:rStyle w:val="Hyperlink"/>
                      </w:rPr>
                      <w:t xml:space="preserve">Recurrent non-salary public hospital expenditure categories</w:t>
                    </w:r>
                  </w:hyperlink>
                </w:p>
              </w:tc>
              <w:tc>
                <w:tcPr>
                  <w:vAlign w:val="top"/>
                </w:tcPr>
                <w:p>
                  <w:r>
                    <w:t xml:space="preserve">542106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expenses -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Administrative expenses - other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Depreciation - building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Depreciation - other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Domestic services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Interest payments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Lease costs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Patient transport costs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Repairs and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Superannuation employer contributions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on-costs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Supplies - drug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Supplies - food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Supplies - medical and surgical</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Visiting medical officer payments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elsewhere recorded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6ae097835f394633">
                    <w:r>
                      <w:rPr>
                        <w:rStyle w:val="Hyperlink"/>
                      </w:rPr>
                      <w:t xml:space="preserve">Recurrent non-salary expenditure total dollars</w:t>
                    </w:r>
                  </w:hyperlink>
                </w:p>
              </w:tc>
              <w:tc>
                <w:tcPr>
                  <w:vAlign w:val="top"/>
                </w:tcPr>
                <w:p>
                  <w:r>
                    <w:t xml:space="preserve">616003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6621b909efcc4fb2">
                    <w:r>
                      <w:rPr>
                        <w:rStyle w:val="Hyperlink"/>
                      </w:rPr>
                      <w:t xml:space="preserve">Recurrent salaries and wages expenditure data element cluster</w:t>
                    </w:r>
                  </w:hyperlink>
                </w:p>
              </w:tc>
              <w:tc>
                <w:tcPr>
                  <w:vAlign w:val="top"/>
                </w:tcPr>
                <w:p>
                  <w:r>
                    <w:t xml:space="preserve">616033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c2464819cb554302">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7acc40b6277748b5">
                    <w:r>
                      <w:rPr>
                        <w:rStyle w:val="Hyperlink"/>
                      </w:rPr>
                      <w:t xml:space="preserve">Salaries and wages</w:t>
                    </w:r>
                  </w:hyperlink>
                </w:p>
              </w:tc>
              <w:tc>
                <w:tcPr>
                  <w:vAlign w:val="top"/>
                </w:tcPr>
                <w:p>
                  <w:r>
                    <w:t xml:space="preserve">616005</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450" w:type="dxa"/>
                  </w:tcMar>
                  <w:vAlign w:val="top"/>
                </w:tcPr>
                <w:p>
                  <w:hyperlink w:history="true" r:id="R6097f3ec3d4c48d7">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f544b5c9dde438e">
                    <w:r>
                      <w:rPr>
                        <w:rStyle w:val="Hyperlink"/>
                      </w:rPr>
                      <w:t xml:space="preserve">Revenue data element cluster</w:t>
                    </w:r>
                  </w:hyperlink>
                </w:p>
              </w:tc>
              <w:tc>
                <w:tcPr>
                  <w:vAlign w:val="top"/>
                </w:tcPr>
                <w:p>
                  <w:r>
                    <w:t xml:space="preserve">643062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f9327b3ff640472f">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2de863bde64e447a">
                    <w:r>
                      <w:rPr>
                        <w:rStyle w:val="Hyperlink"/>
                      </w:rPr>
                      <w:t xml:space="preserve">Public hospital recurrent expenditure related revenue categories</w:t>
                    </w:r>
                  </w:hyperlink>
                </w:p>
              </w:tc>
              <w:tc>
                <w:tcPr>
                  <w:vAlign w:val="top"/>
                </w:tcPr>
                <w:p>
                  <w:r>
                    <w:t xml:space="preserve">643082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Compensable schemes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patient revenue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Commonwealth funding/subsidies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or territory health authority funding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state or territory funding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National Health Funding Pool - state or territory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National Health Funding Pool - Commonwealth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Infrastructure/facility fees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recoveries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Revenue not elsewhere reported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8543089854d44fca">
                    <w:r>
                      <w:rPr>
                        <w:rStyle w:val="Hyperlink"/>
                      </w:rPr>
                      <w:t xml:space="preserve">Public hospital recurrent expenditure related revenue in Australian dollars</w:t>
                    </w:r>
                  </w:hyperlink>
                </w:p>
              </w:tc>
              <w:tc>
                <w:tcPr>
                  <w:vAlign w:val="top"/>
                </w:tcPr>
                <w:p>
                  <w:r>
                    <w:t xml:space="preserve">643142</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e153d97082274e8d">
                    <w:r>
                      <w:rPr>
                        <w:rStyle w:val="Hyperlink"/>
                      </w:rPr>
                      <w:t xml:space="preserve">Total recurrent expenditure on National Health Reform Agreement product streams data element cluster</w:t>
                    </w:r>
                  </w:hyperlink>
                </w:p>
              </w:tc>
              <w:tc>
                <w:tcPr>
                  <w:vAlign w:val="top"/>
                </w:tcPr>
                <w:p>
                  <w:r>
                    <w:t xml:space="preserve">679213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063ffb36ddfe4ae7">
                    <w:r>
                      <w:rPr>
                        <w:rStyle w:val="Hyperlink"/>
                      </w:rPr>
                      <w:t xml:space="preserve">Recurrent expenditure by NHRA product streams</w:t>
                    </w:r>
                  </w:hyperlink>
                </w:p>
              </w:tc>
              <w:tc>
                <w:tcPr>
                  <w:vAlign w:val="top"/>
                </w:tcPr>
                <w:p>
                  <w:r>
                    <w:t xml:space="preserve">679293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(excluding emergency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(excluding emergency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Admitted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Emergency care services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Depreciation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(out-of-scope for the NHRA)</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0d83860e5c8d4564">
                    <w:r>
                      <w:rPr>
                        <w:rStyle w:val="Hyperlink"/>
                      </w:rPr>
                      <w:t xml:space="preserve">Total recurrent expenditure in Australian dollars</w:t>
                    </w:r>
                  </w:hyperlink>
                </w:p>
              </w:tc>
              <w:tc>
                <w:tcPr>
                  <w:vAlign w:val="top"/>
                </w:tcPr>
                <w:p>
                  <w:r>
                    <w:t xml:space="preserve">608186</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54f37d324b7b4ea5">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      -</w:t>
                  </w:r>
                </w:p>
              </w:tc>
              <w:tc>
                <w:tcPr>
                  <w:tcMar>
                    <w:left w:w="225" w:type="dxa"/>
                  </w:tcMar>
                  <w:vAlign w:val="top"/>
                </w:tcPr>
                <w:p>
                  <w:hyperlink w:history="true" r:id="R625e9e62b1d6426c">
                    <w:r>
                      <w:rPr>
                        <w:rStyle w:val="Hyperlink"/>
                      </w:rPr>
                      <w:t xml:space="preserve">Average available beds for admitted contracted care</w:t>
                    </w:r>
                  </w:hyperlink>
                </w:p>
              </w:tc>
              <w:tc>
                <w:tcPr>
                  <w:vAlign w:val="top"/>
                </w:tcPr>
                <w:p>
                  <w:r>
                    <w:t xml:space="preserve">616011</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      -</w:t>
                  </w:r>
                </w:p>
              </w:tc>
              <w:tc>
                <w:tcPr>
                  <w:tcMar>
                    <w:left w:w="225" w:type="dxa"/>
                  </w:tcMar>
                  <w:vAlign w:val="top"/>
                </w:tcPr>
                <w:p>
                  <w:hyperlink w:history="true" r:id="Re1bf9a767d2d4294">
                    <w:r>
                      <w:rPr>
                        <w:rStyle w:val="Hyperlink"/>
                      </w:rPr>
                      <w:t xml:space="preserve">Average available beds for overnight-stay patients</w:t>
                    </w:r>
                  </w:hyperlink>
                </w:p>
              </w:tc>
              <w:tc>
                <w:tcPr>
                  <w:vAlign w:val="top"/>
                </w:tcPr>
                <w:p>
                  <w:r>
                    <w:t xml:space="preserve">616014</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      -</w:t>
                  </w:r>
                </w:p>
              </w:tc>
              <w:tc>
                <w:tcPr>
                  <w:tcMar>
                    <w:left w:w="225" w:type="dxa"/>
                  </w:tcMar>
                  <w:vAlign w:val="top"/>
                </w:tcPr>
                <w:p>
                  <w:hyperlink w:history="true" r:id="R1c1a3a025f2a4361">
                    <w:r>
                      <w:rPr>
                        <w:rStyle w:val="Hyperlink"/>
                      </w:rPr>
                      <w:t xml:space="preserve">Average available beds for same-day patients</w:t>
                    </w:r>
                  </w:hyperlink>
                </w:p>
              </w:tc>
              <w:tc>
                <w:tcPr>
                  <w:vAlign w:val="top"/>
                </w:tcPr>
                <w:p>
                  <w:r>
                    <w:t xml:space="preserve">616017</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      -</w:t>
                  </w:r>
                </w:p>
              </w:tc>
              <w:tc>
                <w:tcPr>
                  <w:tcMar>
                    <w:left w:w="225" w:type="dxa"/>
                  </w:tcMar>
                  <w:vAlign w:val="top"/>
                </w:tcPr>
                <w:p>
                  <w:hyperlink w:history="true" r:id="R59233089101f4aed">
                    <w:r>
                      <w:rPr>
                        <w:rStyle w:val="Hyperlink"/>
                      </w:rPr>
                      <w:t xml:space="preserve">Acquired immune deficiency syndrome unit indicator</w:t>
                    </w:r>
                  </w:hyperlink>
                </w:p>
              </w:tc>
              <w:tc>
                <w:tcPr>
                  <w:vAlign w:val="top"/>
                </w:tcPr>
                <w:p>
                  <w:r>
                    <w:t xml:space="preserve">619614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bf9c94d581b4735">
                    <w:r>
                      <w:rPr>
                        <w:rStyle w:val="Hyperlink"/>
                      </w:rPr>
                      <w:t xml:space="preserve">Acute renal dialysis unit indicator</w:t>
                    </w:r>
                  </w:hyperlink>
                </w:p>
              </w:tc>
              <w:tc>
                <w:tcPr>
                  <w:vAlign w:val="top"/>
                </w:tcPr>
                <w:p>
                  <w:r>
                    <w:t xml:space="preserve">619627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dddb62f037346db">
                    <w:r>
                      <w:rPr>
                        <w:rStyle w:val="Hyperlink"/>
                      </w:rPr>
                      <w:t xml:space="preserve">Acute spinal cord injury unit indicator</w:t>
                    </w:r>
                  </w:hyperlink>
                </w:p>
              </w:tc>
              <w:tc>
                <w:tcPr>
                  <w:vAlign w:val="top"/>
                </w:tcPr>
                <w:p>
                  <w:r>
                    <w:t xml:space="preserve">619640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2ce906dd1b44d32">
                    <w:r>
                      <w:rPr>
                        <w:rStyle w:val="Hyperlink"/>
                      </w:rPr>
                      <w:t xml:space="preserve">Alcohol and drug unit indicator</w:t>
                    </w:r>
                  </w:hyperlink>
                </w:p>
              </w:tc>
              <w:tc>
                <w:tcPr>
                  <w:vAlign w:val="top"/>
                </w:tcPr>
                <w:p>
                  <w:r>
                    <w:t xml:space="preserve">619655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f50f4ba4d9046b4">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ad0e7b7d33249d2">
                    <w:r>
                      <w:rPr>
                        <w:rStyle w:val="Hyperlink"/>
                      </w:rPr>
                      <w:t xml:space="preserve">Bone marrow transplantation unit indicator</w:t>
                    </w:r>
                  </w:hyperlink>
                </w:p>
              </w:tc>
              <w:tc>
                <w:tcPr>
                  <w:vAlign w:val="top"/>
                </w:tcPr>
                <w:p>
                  <w:r>
                    <w:t xml:space="preserve">619693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4bd850fa32d4b24">
                    <w:r>
                      <w:rPr>
                        <w:rStyle w:val="Hyperlink"/>
                      </w:rPr>
                      <w:t xml:space="preserve">Burns unit level III indicator</w:t>
                    </w:r>
                  </w:hyperlink>
                </w:p>
              </w:tc>
              <w:tc>
                <w:tcPr>
                  <w:vAlign w:val="top"/>
                </w:tcPr>
                <w:p>
                  <w:r>
                    <w:t xml:space="preserve">619702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decea096ac74ae4">
                    <w:r>
                      <w:rPr>
                        <w:rStyle w:val="Hyperlink"/>
                      </w:rPr>
                      <w:t xml:space="preserve">Cardiac surgery unit indicator</w:t>
                    </w:r>
                  </w:hyperlink>
                </w:p>
              </w:tc>
              <w:tc>
                <w:tcPr>
                  <w:vAlign w:val="top"/>
                </w:tcPr>
                <w:p>
                  <w:r>
                    <w:t xml:space="preserve">619713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784db719b854220">
                    <w:r>
                      <w:rPr>
                        <w:rStyle w:val="Hyperlink"/>
                      </w:rPr>
                      <w:t xml:space="preserve">Clinical genetics unit indicator</w:t>
                    </w:r>
                  </w:hyperlink>
                </w:p>
              </w:tc>
              <w:tc>
                <w:tcPr>
                  <w:vAlign w:val="top"/>
                </w:tcPr>
                <w:p>
                  <w:r>
                    <w:t xml:space="preserve">619723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c246bb137494224">
                    <w:r>
                      <w:rPr>
                        <w:rStyle w:val="Hyperlink"/>
                      </w:rPr>
                      <w:t xml:space="preserve">Comprehensive epilepsy centre indicator</w:t>
                    </w:r>
                  </w:hyperlink>
                </w:p>
              </w:tc>
              <w:tc>
                <w:tcPr>
                  <w:vAlign w:val="top"/>
                </w:tcPr>
                <w:p>
                  <w:r>
                    <w:t xml:space="preserve">619743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f6eca8bd88a4202">
                    <w:r>
                      <w:rPr>
                        <w:rStyle w:val="Hyperlink"/>
                      </w:rPr>
                      <w:t xml:space="preserve">Coronary care unit indicator</w:t>
                    </w:r>
                  </w:hyperlink>
                </w:p>
              </w:tc>
              <w:tc>
                <w:tcPr>
                  <w:vAlign w:val="top"/>
                </w:tcPr>
                <w:p>
                  <w:r>
                    <w:t xml:space="preserve">619758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5023398185d4eeb">
                    <w:r>
                      <w:rPr>
                        <w:rStyle w:val="Hyperlink"/>
                      </w:rPr>
                      <w:t xml:space="preserve">Diabetes unit indicator</w:t>
                    </w:r>
                  </w:hyperlink>
                </w:p>
              </w:tc>
              <w:tc>
                <w:tcPr>
                  <w:vAlign w:val="top"/>
                </w:tcPr>
                <w:p>
                  <w:r>
                    <w:t xml:space="preserve">619769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0dcec753c3a4810">
                    <w:r>
                      <w:rPr>
                        <w:rStyle w:val="Hyperlink"/>
                      </w:rPr>
                      <w:t xml:space="preserve">Domiciliary care service indicator</w:t>
                    </w:r>
                  </w:hyperlink>
                </w:p>
              </w:tc>
              <w:tc>
                <w:tcPr>
                  <w:vAlign w:val="top"/>
                </w:tcPr>
                <w:p>
                  <w:r>
                    <w:t xml:space="preserve">619790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0626e43ddd74f48">
                    <w:r>
                      <w:rPr>
                        <w:rStyle w:val="Hyperlink"/>
                      </w:rPr>
                      <w:t xml:space="preserve">Establishment type</w:t>
                    </w:r>
                  </w:hyperlink>
                </w:p>
              </w:tc>
              <w:tc>
                <w:tcPr>
                  <w:vAlign w:val="top"/>
                </w:tcPr>
                <w:p>
                  <w:r>
                    <w:t xml:space="preserve">684439</w:t>
                  </w:r>
                </w:p>
              </w:tc>
              <w:tc>
                <w:tcPr>
                  <w:vAlign w:val="top"/>
                </w:tcPr>
                <w:p>
                  <w:r>
                    <w:t xml:space="preserve">String
[6]</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R1.1 </w:t>
                        </w:r>
                      </w:p>
                    </w:tc>
                    <w:tc>
                      <w:tcPr>
                        <w:tcBorders>
                          <w:top w:val="none" w:color="000000" w:sz="0"/>
                          <w:left w:val="none" w:color="000000" w:sz="0"/>
                          <w:bottom w:val="none" w:color="000000" w:sz="0"/>
                          <w:right w:val="none" w:color="000000" w:sz="0"/>
                        </w:tcBorders>
                        <w:tcMar/>
                        <w:vAlign w:val="top"/>
                      </w:tcPr>
                      <w:p>
                        <w:r>
                          <w:t xml:space="preserve">Public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R1.2 </w:t>
                        </w:r>
                      </w:p>
                    </w:tc>
                    <w:tc>
                      <w:tcPr>
                        <w:tcBorders>
                          <w:top w:val="none" w:color="000000" w:sz="0"/>
                          <w:left w:val="none" w:color="000000" w:sz="0"/>
                          <w:bottom w:val="none" w:color="000000" w:sz="0"/>
                          <w:right w:val="none" w:color="000000" w:sz="0"/>
                        </w:tcBorders>
                        <w:tcMar/>
                        <w:vAlign w:val="top"/>
                      </w:tcPr>
                      <w:p>
                        <w:r>
                          <w:t xml:space="preserve">Private acute care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R1.3.1 </w:t>
                        </w:r>
                      </w:p>
                    </w:tc>
                    <w:tc>
                      <w:tcPr>
                        <w:tcBorders>
                          <w:top w:val="none" w:color="000000" w:sz="0"/>
                          <w:left w:val="none" w:color="000000" w:sz="0"/>
                          <w:bottom w:val="none" w:color="000000" w:sz="0"/>
                          <w:right w:val="none" w:color="000000" w:sz="0"/>
                        </w:tcBorders>
                        <w:tcMar/>
                        <w:vAlign w:val="top"/>
                      </w:tcPr>
                      <w:p>
                        <w:r>
                          <w:t xml:space="preserve">Veterans' Affairs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R1.3.2 </w:t>
                        </w:r>
                      </w:p>
                    </w:tc>
                    <w:tc>
                      <w:tcPr>
                        <w:tcBorders>
                          <w:top w:val="none" w:color="000000" w:sz="0"/>
                          <w:left w:val="none" w:color="000000" w:sz="0"/>
                          <w:bottom w:val="none" w:color="000000" w:sz="0"/>
                          <w:right w:val="none" w:color="000000" w:sz="0"/>
                        </w:tcBorders>
                        <w:tcMar/>
                        <w:vAlign w:val="top"/>
                      </w:tcPr>
                      <w:p>
                        <w:r>
                          <w:t xml:space="preserve">Defence force hospital</w:t>
                        </w:r>
                      </w:p>
                    </w:tc>
                  </w:tr>
                  <w:tr>
                    <w:trPr/>
                    <w:tc>
                      <w:tcPr>
                        <w:tcW w:w="1000" w:type="pct"/>
                        <w:tcBorders>
                          <w:top w:val="none" w:color="000000" w:sz="0"/>
                          <w:left w:val="none" w:color="000000" w:sz="0"/>
                          <w:bottom w:val="none" w:color="000000" w:sz="0"/>
                          <w:right w:val="none" w:color="000000" w:sz="0"/>
                        </w:tcBorders>
                        <w:tcMar/>
                        <w:vAlign w:val="top"/>
                      </w:tcPr>
                      <w:p>
                        <w:r>
                          <w:t xml:space="preserve">R1.3.3 </w:t>
                        </w:r>
                      </w:p>
                    </w:tc>
                    <w:tc>
                      <w:tcPr>
                        <w:tcBorders>
                          <w:top w:val="none" w:color="000000" w:sz="0"/>
                          <w:left w:val="none" w:color="000000" w:sz="0"/>
                          <w:bottom w:val="none" w:color="000000" w:sz="0"/>
                          <w:right w:val="none" w:color="000000" w:sz="0"/>
                        </w:tcBorders>
                        <w:tcMar/>
                        <w:vAlign w:val="top"/>
                      </w:tcPr>
                      <w:p>
                        <w:r>
                          <w:t xml:space="preserve">Other Commonwealth hospital</w:t>
                        </w:r>
                      </w:p>
                    </w:tc>
                  </w:tr>
                  <w:tr>
                    <w:trPr/>
                    <w:tc>
                      <w:tcPr>
                        <w:tcW w:w="1000" w:type="pct"/>
                        <w:tcBorders>
                          <w:top w:val="none" w:color="000000" w:sz="0"/>
                          <w:left w:val="none" w:color="000000" w:sz="0"/>
                          <w:bottom w:val="none" w:color="000000" w:sz="0"/>
                          <w:right w:val="none" w:color="000000" w:sz="0"/>
                        </w:tcBorders>
                        <w:tcMar/>
                        <w:vAlign w:val="top"/>
                      </w:tcPr>
                      <w:p>
                        <w:r>
                          <w:t xml:space="preserve">R2.1 </w:t>
                        </w:r>
                      </w:p>
                    </w:tc>
                    <w:tc>
                      <w:tcPr>
                        <w:tcBorders>
                          <w:top w:val="none" w:color="000000" w:sz="0"/>
                          <w:left w:val="none" w:color="000000" w:sz="0"/>
                          <w:bottom w:val="none" w:color="000000" w:sz="0"/>
                          <w:right w:val="none" w:color="000000" w:sz="0"/>
                        </w:tcBorders>
                        <w:tcMar/>
                        <w:vAlign w:val="top"/>
                      </w:tcPr>
                      <w:p>
                        <w:r>
                          <w:t xml:space="preserve">Public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R2.2 </w:t>
                        </w:r>
                      </w:p>
                    </w:tc>
                    <w:tc>
                      <w:tcPr>
                        <w:tcBorders>
                          <w:top w:val="none" w:color="000000" w:sz="0"/>
                          <w:left w:val="none" w:color="000000" w:sz="0"/>
                          <w:bottom w:val="none" w:color="000000" w:sz="0"/>
                          <w:right w:val="none" w:color="000000" w:sz="0"/>
                        </w:tcBorders>
                        <w:tcMar/>
                        <w:vAlign w:val="top"/>
                      </w:tcPr>
                      <w:p>
                        <w:r>
                          <w:t xml:space="preserve">Private psychiatric hospital</w:t>
                        </w:r>
                      </w:p>
                    </w:tc>
                  </w:tr>
                  <w:tr>
                    <w:trPr/>
                    <w:tc>
                      <w:tcPr>
                        <w:tcW w:w="1000" w:type="pct"/>
                        <w:tcBorders>
                          <w:top w:val="none" w:color="000000" w:sz="0"/>
                          <w:left w:val="none" w:color="000000" w:sz="0"/>
                          <w:bottom w:val="none" w:color="000000" w:sz="0"/>
                          <w:right w:val="none" w:color="000000" w:sz="0"/>
                        </w:tcBorders>
                        <w:tcMar/>
                        <w:vAlign w:val="top"/>
                      </w:tcPr>
                      <w:p>
                        <w:r>
                          <w:t xml:space="preserve">R3.1 </w:t>
                        </w:r>
                      </w:p>
                    </w:tc>
                    <w:tc>
                      <w:tcPr>
                        <w:tcBorders>
                          <w:top w:val="none" w:color="000000" w:sz="0"/>
                          <w:left w:val="none" w:color="000000" w:sz="0"/>
                          <w:bottom w:val="none" w:color="000000" w:sz="0"/>
                          <w:right w:val="none" w:color="000000" w:sz="0"/>
                        </w:tcBorders>
                        <w:tcMar/>
                        <w:vAlign w:val="top"/>
                      </w:tcPr>
                      <w:p>
                        <w:r>
                          <w:t xml:space="preserve">Private charitable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R3.2 </w:t>
                        </w:r>
                      </w:p>
                    </w:tc>
                    <w:tc>
                      <w:tcPr>
                        <w:tcBorders>
                          <w:top w:val="none" w:color="000000" w:sz="0"/>
                          <w:left w:val="none" w:color="000000" w:sz="0"/>
                          <w:bottom w:val="none" w:color="000000" w:sz="0"/>
                          <w:right w:val="none" w:color="000000" w:sz="0"/>
                        </w:tcBorders>
                        <w:tcMar/>
                        <w:vAlign w:val="top"/>
                      </w:tcPr>
                      <w:p>
                        <w:r>
                          <w:t xml:space="preserve">Private profit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R3.3 </w:t>
                        </w:r>
                      </w:p>
                    </w:tc>
                    <w:tc>
                      <w:tcPr>
                        <w:tcBorders>
                          <w:top w:val="none" w:color="000000" w:sz="0"/>
                          <w:left w:val="none" w:color="000000" w:sz="0"/>
                          <w:bottom w:val="none" w:color="000000" w:sz="0"/>
                          <w:right w:val="none" w:color="000000" w:sz="0"/>
                        </w:tcBorders>
                        <w:tcMar/>
                        <w:vAlign w:val="top"/>
                      </w:tcPr>
                      <w:p>
                        <w:r>
                          <w:t xml:space="preserve">Government nursing home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R3.4 </w:t>
                        </w:r>
                      </w:p>
                    </w:tc>
                    <w:tc>
                      <w:tcPr>
                        <w:tcBorders>
                          <w:top w:val="none" w:color="000000" w:sz="0"/>
                          <w:left w:val="none" w:color="000000" w:sz="0"/>
                          <w:bottom w:val="none" w:color="000000" w:sz="0"/>
                          <w:right w:val="none" w:color="000000" w:sz="0"/>
                        </w:tcBorders>
                        <w:tcMar/>
                        <w:vAlign w:val="top"/>
                      </w:tcPr>
                      <w:p>
                        <w:r>
                          <w:t xml:space="preserve">Private charitable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R3.5 </w:t>
                        </w:r>
                      </w:p>
                    </w:tc>
                    <w:tc>
                      <w:tcPr>
                        <w:tcBorders>
                          <w:top w:val="none" w:color="000000" w:sz="0"/>
                          <w:left w:val="none" w:color="000000" w:sz="0"/>
                          <w:bottom w:val="none" w:color="000000" w:sz="0"/>
                          <w:right w:val="none" w:color="000000" w:sz="0"/>
                        </w:tcBorders>
                        <w:tcMar/>
                        <w:vAlign w:val="top"/>
                      </w:tcPr>
                      <w:p>
                        <w:r>
                          <w:t xml:space="preserve">Private profit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R3.6 </w:t>
                        </w:r>
                      </w:p>
                    </w:tc>
                    <w:tc>
                      <w:tcPr>
                        <w:tcBorders>
                          <w:top w:val="none" w:color="000000" w:sz="0"/>
                          <w:left w:val="none" w:color="000000" w:sz="0"/>
                          <w:bottom w:val="none" w:color="000000" w:sz="0"/>
                          <w:right w:val="none" w:color="000000" w:sz="0"/>
                        </w:tcBorders>
                        <w:tcMar/>
                        <w:vAlign w:val="top"/>
                      </w:tcPr>
                      <w:p>
                        <w:r>
                          <w:t xml:space="preserve">Government nursing home for young disabled</w:t>
                        </w:r>
                      </w:p>
                    </w:tc>
                  </w:tr>
                  <w:tr>
                    <w:trPr/>
                    <w:tc>
                      <w:tcPr>
                        <w:tcW w:w="1000" w:type="pct"/>
                        <w:tcBorders>
                          <w:top w:val="none" w:color="000000" w:sz="0"/>
                          <w:left w:val="none" w:color="000000" w:sz="0"/>
                          <w:bottom w:val="none" w:color="000000" w:sz="0"/>
                          <w:right w:val="none" w:color="000000" w:sz="0"/>
                        </w:tcBorders>
                        <w:tcMar/>
                        <w:vAlign w:val="top"/>
                      </w:tcPr>
                      <w:p>
                        <w:r>
                          <w:t xml:space="preserve">R4.1 </w:t>
                        </w:r>
                      </w:p>
                    </w:tc>
                    <w:tc>
                      <w:tcPr>
                        <w:tcBorders>
                          <w:top w:val="none" w:color="000000" w:sz="0"/>
                          <w:left w:val="none" w:color="000000" w:sz="0"/>
                          <w:bottom w:val="none" w:color="000000" w:sz="0"/>
                          <w:right w:val="none" w:color="000000" w:sz="0"/>
                        </w:tcBorders>
                        <w:tcMar/>
                        <w:vAlign w:val="top"/>
                      </w:tcPr>
                      <w:p>
                        <w:r>
                          <w:t xml:space="preserve">Public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R4.2 </w:t>
                        </w:r>
                      </w:p>
                    </w:tc>
                    <w:tc>
                      <w:tcPr>
                        <w:tcBorders>
                          <w:top w:val="none" w:color="000000" w:sz="0"/>
                          <w:left w:val="none" w:color="000000" w:sz="0"/>
                          <w:bottom w:val="none" w:color="000000" w:sz="0"/>
                          <w:right w:val="none" w:color="000000" w:sz="0"/>
                        </w:tcBorders>
                        <w:tcMar/>
                        <w:vAlign w:val="top"/>
                      </w:tcPr>
                      <w:p>
                        <w:r>
                          <w:t xml:space="preserve">Private alcohol and drug treatment centre</w:t>
                        </w:r>
                      </w:p>
                    </w:tc>
                  </w:tr>
                  <w:tr>
                    <w:trPr/>
                    <w:tc>
                      <w:tcPr>
                        <w:tcW w:w="1000" w:type="pct"/>
                        <w:tcBorders>
                          <w:top w:val="none" w:color="000000" w:sz="0"/>
                          <w:left w:val="none" w:color="000000" w:sz="0"/>
                          <w:bottom w:val="none" w:color="000000" w:sz="0"/>
                          <w:right w:val="none" w:color="000000" w:sz="0"/>
                        </w:tcBorders>
                        <w:tcMar/>
                        <w:vAlign w:val="top"/>
                      </w:tcPr>
                      <w:p>
                        <w:r>
                          <w:t xml:space="preserve">R5.1 </w:t>
                        </w:r>
                      </w:p>
                    </w:tc>
                    <w:tc>
                      <w:tcPr>
                        <w:tcBorders>
                          <w:top w:val="none" w:color="000000" w:sz="0"/>
                          <w:left w:val="none" w:color="000000" w:sz="0"/>
                          <w:bottom w:val="none" w:color="000000" w:sz="0"/>
                          <w:right w:val="none" w:color="000000" w:sz="0"/>
                        </w:tcBorders>
                        <w:tcMar/>
                        <w:vAlign w:val="top"/>
                      </w:tcPr>
                      <w:p>
                        <w:r>
                          <w:t xml:space="preserve">Charitable hostels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R5.2 </w:t>
                        </w:r>
                      </w:p>
                    </w:tc>
                    <w:tc>
                      <w:tcPr>
                        <w:tcBorders>
                          <w:top w:val="none" w:color="000000" w:sz="0"/>
                          <w:left w:val="none" w:color="000000" w:sz="0"/>
                          <w:bottom w:val="none" w:color="000000" w:sz="0"/>
                          <w:right w:val="none" w:color="000000" w:sz="0"/>
                        </w:tcBorders>
                        <w:tcMar/>
                        <w:vAlign w:val="top"/>
                      </w:tcPr>
                      <w:p>
                        <w:r>
                          <w:t xml:space="preserve">State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R5.3 </w:t>
                        </w:r>
                      </w:p>
                    </w:tc>
                    <w:tc>
                      <w:tcPr>
                        <w:tcBorders>
                          <w:top w:val="none" w:color="000000" w:sz="0"/>
                          <w:left w:val="none" w:color="000000" w:sz="0"/>
                          <w:bottom w:val="none" w:color="000000" w:sz="0"/>
                          <w:right w:val="none" w:color="000000" w:sz="0"/>
                        </w:tcBorders>
                        <w:tcMar/>
                        <w:vAlign w:val="top"/>
                      </w:tcPr>
                      <w:p>
                        <w:r>
                          <w:t xml:space="preserve">Local government hostel for the aged</w:t>
                        </w:r>
                      </w:p>
                    </w:tc>
                  </w:tr>
                  <w:tr>
                    <w:trPr/>
                    <w:tc>
                      <w:tcPr>
                        <w:tcW w:w="1000" w:type="pct"/>
                        <w:tcBorders>
                          <w:top w:val="none" w:color="000000" w:sz="0"/>
                          <w:left w:val="none" w:color="000000" w:sz="0"/>
                          <w:bottom w:val="none" w:color="000000" w:sz="0"/>
                          <w:right w:val="none" w:color="000000" w:sz="0"/>
                        </w:tcBorders>
                        <w:tcMar/>
                        <w:vAlign w:val="top"/>
                      </w:tcPr>
                      <w:p>
                        <w:r>
                          <w:t xml:space="preserve">R5.4 </w:t>
                        </w:r>
                      </w:p>
                    </w:tc>
                    <w:tc>
                      <w:tcPr>
                        <w:tcBorders>
                          <w:top w:val="none" w:color="000000" w:sz="0"/>
                          <w:left w:val="none" w:color="000000" w:sz="0"/>
                          <w:bottom w:val="none" w:color="000000" w:sz="0"/>
                          <w:right w:val="none" w:color="000000" w:sz="0"/>
                        </w:tcBorders>
                        <w:tcMar/>
                        <w:vAlign w:val="top"/>
                      </w:tcPr>
                      <w:p>
                        <w:r>
                          <w:t xml:space="preserve">Other charitable hostel</w:t>
                        </w:r>
                      </w:p>
                    </w:tc>
                  </w:tr>
                  <w:tr>
                    <w:trPr/>
                    <w:tc>
                      <w:tcPr>
                        <w:tcW w:w="1000" w:type="pct"/>
                        <w:tcBorders>
                          <w:top w:val="none" w:color="000000" w:sz="0"/>
                          <w:left w:val="none" w:color="000000" w:sz="0"/>
                          <w:bottom w:val="none" w:color="000000" w:sz="0"/>
                          <w:right w:val="none" w:color="000000" w:sz="0"/>
                        </w:tcBorders>
                        <w:tcMar/>
                        <w:vAlign w:val="top"/>
                      </w:tcPr>
                      <w:p>
                        <w:r>
                          <w:t xml:space="preserve">R5.5 </w:t>
                        </w:r>
                      </w:p>
                    </w:tc>
                    <w:tc>
                      <w:tcPr>
                        <w:tcBorders>
                          <w:top w:val="none" w:color="000000" w:sz="0"/>
                          <w:left w:val="none" w:color="000000" w:sz="0"/>
                          <w:bottom w:val="none" w:color="000000" w:sz="0"/>
                          <w:right w:val="none" w:color="000000" w:sz="0"/>
                        </w:tcBorders>
                        <w:tcMar/>
                        <w:vAlign w:val="top"/>
                      </w:tcPr>
                      <w:p>
                        <w:r>
                          <w:t xml:space="preserve">Other State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R5.6 </w:t>
                        </w:r>
                      </w:p>
                    </w:tc>
                    <w:tc>
                      <w:tcPr>
                        <w:tcBorders>
                          <w:top w:val="none" w:color="000000" w:sz="0"/>
                          <w:left w:val="none" w:color="000000" w:sz="0"/>
                          <w:bottom w:val="none" w:color="000000" w:sz="0"/>
                          <w:right w:val="none" w:color="000000" w:sz="0"/>
                        </w:tcBorders>
                        <w:tcMar/>
                        <w:vAlign w:val="top"/>
                      </w:tcPr>
                      <w:p>
                        <w:r>
                          <w:t xml:space="preserve">Other Local government hostel</w:t>
                        </w:r>
                      </w:p>
                    </w:tc>
                  </w:tr>
                  <w:tr>
                    <w:trPr/>
                    <w:tc>
                      <w:tcPr>
                        <w:tcW w:w="1000" w:type="pct"/>
                        <w:tcBorders>
                          <w:top w:val="none" w:color="000000" w:sz="0"/>
                          <w:left w:val="none" w:color="000000" w:sz="0"/>
                          <w:bottom w:val="none" w:color="000000" w:sz="0"/>
                          <w:right w:val="none" w:color="000000" w:sz="0"/>
                        </w:tcBorders>
                        <w:tcMar/>
                        <w:vAlign w:val="top"/>
                      </w:tcPr>
                      <w:p>
                        <w:r>
                          <w:t xml:space="preserve">R6.1 </w:t>
                        </w:r>
                      </w:p>
                    </w:tc>
                    <w:tc>
                      <w:tcPr>
                        <w:tcBorders>
                          <w:top w:val="none" w:color="000000" w:sz="0"/>
                          <w:left w:val="none" w:color="000000" w:sz="0"/>
                          <w:bottom w:val="none" w:color="000000" w:sz="0"/>
                          <w:right w:val="none" w:color="000000" w:sz="0"/>
                        </w:tcBorders>
                        <w:tcMar/>
                        <w:vAlign w:val="top"/>
                      </w:tcPr>
                      <w:p>
                        <w:r>
                          <w:t xml:space="preserve">Public hospice</w:t>
                        </w:r>
                      </w:p>
                    </w:tc>
                  </w:tr>
                  <w:tr>
                    <w:trPr/>
                    <w:tc>
                      <w:tcPr>
                        <w:tcW w:w="1000" w:type="pct"/>
                        <w:tcBorders>
                          <w:top w:val="none" w:color="000000" w:sz="0"/>
                          <w:left w:val="none" w:color="000000" w:sz="0"/>
                          <w:bottom w:val="none" w:color="000000" w:sz="0"/>
                          <w:right w:val="none" w:color="000000" w:sz="0"/>
                        </w:tcBorders>
                        <w:tcMar/>
                        <w:vAlign w:val="top"/>
                      </w:tcPr>
                      <w:p>
                        <w:r>
                          <w:t xml:space="preserve">R6.2 </w:t>
                        </w:r>
                      </w:p>
                    </w:tc>
                    <w:tc>
                      <w:tcPr>
                        <w:tcBorders>
                          <w:top w:val="none" w:color="000000" w:sz="0"/>
                          <w:left w:val="none" w:color="000000" w:sz="0"/>
                          <w:bottom w:val="none" w:color="000000" w:sz="0"/>
                          <w:right w:val="none" w:color="000000" w:sz="0"/>
                        </w:tcBorders>
                        <w:tcMar/>
                        <w:vAlign w:val="top"/>
                      </w:tcPr>
                      <w:p>
                        <w:r>
                          <w:t xml:space="preserve">Private hospice</w:t>
                        </w:r>
                      </w:p>
                    </w:tc>
                  </w:tr>
                  <w:tr>
                    <w:trPr/>
                    <w:tc>
                      <w:tcPr>
                        <w:tcW w:w="1000" w:type="pct"/>
                        <w:tcBorders>
                          <w:top w:val="none" w:color="000000" w:sz="0"/>
                          <w:left w:val="none" w:color="000000" w:sz="0"/>
                          <w:bottom w:val="none" w:color="000000" w:sz="0"/>
                          <w:right w:val="none" w:color="000000" w:sz="0"/>
                        </w:tcBorders>
                        <w:tcMar/>
                        <w:vAlign w:val="top"/>
                      </w:tcPr>
                      <w:p>
                        <w:r>
                          <w:t xml:space="preserve">N7.1 </w:t>
                        </w:r>
                      </w:p>
                    </w:tc>
                    <w:tc>
                      <w:tcPr>
                        <w:tcBorders>
                          <w:top w:val="none" w:color="000000" w:sz="0"/>
                          <w:left w:val="none" w:color="000000" w:sz="0"/>
                          <w:bottom w:val="none" w:color="000000" w:sz="0"/>
                          <w:right w:val="none" w:color="000000" w:sz="0"/>
                        </w:tcBorders>
                        <w:tcMar/>
                        <w:vAlign w:val="top"/>
                      </w:tcPr>
                      <w:p>
                        <w:r>
                          <w:t xml:space="preserve">Public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N7.2 </w:t>
                        </w:r>
                      </w:p>
                    </w:tc>
                    <w:tc>
                      <w:tcPr>
                        <w:tcBorders>
                          <w:top w:val="none" w:color="000000" w:sz="0"/>
                          <w:left w:val="none" w:color="000000" w:sz="0"/>
                          <w:bottom w:val="none" w:color="000000" w:sz="0"/>
                          <w:right w:val="none" w:color="000000" w:sz="0"/>
                        </w:tcBorders>
                        <w:tcMar/>
                        <w:vAlign w:val="top"/>
                      </w:tcPr>
                      <w:p>
                        <w:r>
                          <w:t xml:space="preserve">Public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N7.3 </w:t>
                        </w:r>
                      </w:p>
                    </w:tc>
                    <w:tc>
                      <w:tcPr>
                        <w:tcBorders>
                          <w:top w:val="none" w:color="000000" w:sz="0"/>
                          <w:left w:val="none" w:color="000000" w:sz="0"/>
                          <w:bottom w:val="none" w:color="000000" w:sz="0"/>
                          <w:right w:val="none" w:color="000000" w:sz="0"/>
                        </w:tcBorders>
                        <w:tcMar/>
                        <w:vAlign w:val="top"/>
                      </w:tcPr>
                      <w:p>
                        <w:r>
                          <w:t xml:space="preserve">Private day centre/hospital</w:t>
                        </w:r>
                      </w:p>
                    </w:tc>
                  </w:tr>
                  <w:tr>
                    <w:trPr/>
                    <w:tc>
                      <w:tcPr>
                        <w:tcW w:w="1000" w:type="pct"/>
                        <w:tcBorders>
                          <w:top w:val="none" w:color="000000" w:sz="0"/>
                          <w:left w:val="none" w:color="000000" w:sz="0"/>
                          <w:bottom w:val="none" w:color="000000" w:sz="0"/>
                          <w:right w:val="none" w:color="000000" w:sz="0"/>
                        </w:tcBorders>
                        <w:tcMar/>
                        <w:vAlign w:val="top"/>
                      </w:tcPr>
                      <w:p>
                        <w:r>
                          <w:t xml:space="preserve">N7.4 </w:t>
                        </w:r>
                      </w:p>
                    </w:tc>
                    <w:tc>
                      <w:tcPr>
                        <w:tcBorders>
                          <w:top w:val="none" w:color="000000" w:sz="0"/>
                          <w:left w:val="none" w:color="000000" w:sz="0"/>
                          <w:bottom w:val="none" w:color="000000" w:sz="0"/>
                          <w:right w:val="none" w:color="000000" w:sz="0"/>
                        </w:tcBorders>
                        <w:tcMar/>
                        <w:vAlign w:val="top"/>
                      </w:tcPr>
                      <w:p>
                        <w:r>
                          <w:t xml:space="preserve">Private freestanding day surgery centre</w:t>
                        </w:r>
                      </w:p>
                    </w:tc>
                  </w:tr>
                  <w:tr>
                    <w:trPr/>
                    <w:tc>
                      <w:tcPr>
                        <w:tcW w:w="1000" w:type="pct"/>
                        <w:tcBorders>
                          <w:top w:val="none" w:color="000000" w:sz="0"/>
                          <w:left w:val="none" w:color="000000" w:sz="0"/>
                          <w:bottom w:val="none" w:color="000000" w:sz="0"/>
                          <w:right w:val="none" w:color="000000" w:sz="0"/>
                        </w:tcBorders>
                        <w:tcMar/>
                        <w:vAlign w:val="top"/>
                      </w:tcPr>
                      <w:p>
                        <w:r>
                          <w:t xml:space="preserve">N8.1.1 </w:t>
                        </w:r>
                      </w:p>
                    </w:tc>
                    <w:tc>
                      <w:tcPr>
                        <w:tcBorders>
                          <w:top w:val="none" w:color="000000" w:sz="0"/>
                          <w:left w:val="none" w:color="000000" w:sz="0"/>
                          <w:bottom w:val="none" w:color="000000" w:sz="0"/>
                          <w:right w:val="none" w:color="000000" w:sz="0"/>
                        </w:tcBorders>
                        <w:tcMar/>
                        <w:vAlign w:val="top"/>
                      </w:tcPr>
                      <w:p>
                        <w:r>
                          <w:t xml:space="preserve">Public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N8.1.2 </w:t>
                        </w:r>
                      </w:p>
                    </w:tc>
                    <w:tc>
                      <w:tcPr>
                        <w:tcBorders>
                          <w:top w:val="none" w:color="000000" w:sz="0"/>
                          <w:left w:val="none" w:color="000000" w:sz="0"/>
                          <w:bottom w:val="none" w:color="000000" w:sz="0"/>
                          <w:right w:val="none" w:color="000000" w:sz="0"/>
                        </w:tcBorders>
                        <w:tcMar/>
                        <w:vAlign w:val="top"/>
                      </w:tcPr>
                      <w:p>
                        <w:r>
                          <w:t xml:space="preserve">Private (non-profit)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N8.2.1 </w:t>
                        </w:r>
                      </w:p>
                    </w:tc>
                    <w:tc>
                      <w:tcPr>
                        <w:tcBorders>
                          <w:top w:val="none" w:color="000000" w:sz="0"/>
                          <w:left w:val="none" w:color="000000" w:sz="0"/>
                          <w:bottom w:val="none" w:color="000000" w:sz="0"/>
                          <w:right w:val="none" w:color="000000" w:sz="0"/>
                        </w:tcBorders>
                        <w:tcMar/>
                        <w:vAlign w:val="top"/>
                      </w:tcPr>
                      <w:p>
                        <w:r>
                          <w:t xml:space="preserve">Public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N8.2.2 </w:t>
                        </w:r>
                      </w:p>
                    </w:tc>
                    <w:tc>
                      <w:tcPr>
                        <w:tcBorders>
                          <w:top w:val="none" w:color="000000" w:sz="0"/>
                          <w:left w:val="none" w:color="000000" w:sz="0"/>
                          <w:bottom w:val="none" w:color="000000" w:sz="0"/>
                          <w:right w:val="none" w:color="000000" w:sz="0"/>
                        </w:tcBorders>
                        <w:tcMar/>
                        <w:vAlign w:val="top"/>
                      </w:tcPr>
                      <w:p>
                        <w:r>
                          <w:t xml:space="preserve">Private (non-profit) domiciliary nursing service</w:t>
                        </w:r>
                      </w:p>
                    </w:tc>
                  </w:tr>
                  <w:tr>
                    <w:trPr/>
                    <w:tc>
                      <w:tcPr>
                        <w:tcW w:w="1000" w:type="pct"/>
                        <w:tcBorders>
                          <w:top w:val="none" w:color="000000" w:sz="0"/>
                          <w:left w:val="none" w:color="000000" w:sz="0"/>
                          <w:bottom w:val="none" w:color="000000" w:sz="0"/>
                          <w:right w:val="none" w:color="000000" w:sz="0"/>
                        </w:tcBorders>
                        <w:tcMar/>
                        <w:vAlign w:val="top"/>
                      </w:tcPr>
                      <w:p>
                        <w:r>
                          <w:t xml:space="preserve">N8.2.3 </w:t>
                        </w:r>
                      </w:p>
                    </w:tc>
                    <w:tc>
                      <w:tcPr>
                        <w:tcBorders>
                          <w:top w:val="none" w:color="000000" w:sz="0"/>
                          <w:left w:val="none" w:color="000000" w:sz="0"/>
                          <w:bottom w:val="none" w:color="000000" w:sz="0"/>
                          <w:right w:val="none" w:color="000000" w:sz="0"/>
                        </w:tcBorders>
                        <w:tcMar/>
                        <w:vAlign w:val="top"/>
                      </w:tcPr>
                      <w:p>
                        <w:r>
                          <w:t xml:space="preserve">Private (profit) domiciliary nursing service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0df4688381043cd">
                    <w:r>
                      <w:rPr>
                        <w:rStyle w:val="Hyperlink"/>
                      </w:rPr>
                      <w:t xml:space="preserve">Geriatric assessment unit indicator</w:t>
                    </w:r>
                  </w:hyperlink>
                </w:p>
              </w:tc>
              <w:tc>
                <w:tcPr>
                  <w:vAlign w:val="top"/>
                </w:tcPr>
                <w:p>
                  <w:r>
                    <w:t xml:space="preserve">619809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1031356403847ad">
                    <w:r>
                      <w:rPr>
                        <w:rStyle w:val="Hyperlink"/>
                      </w:rPr>
                      <w:t xml:space="preserve">Heart and lung transplantation unit indicator</w:t>
                    </w:r>
                  </w:hyperlink>
                </w:p>
              </w:tc>
              <w:tc>
                <w:tcPr>
                  <w:vAlign w:val="top"/>
                </w:tcPr>
                <w:p>
                  <w:r>
                    <w:t xml:space="preserve">619822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3808c063446463e">
                    <w:r>
                      <w:rPr>
                        <w:rStyle w:val="Hyperlink"/>
                      </w:rPr>
                      <w:t xml:space="preserve">Hospice care unit indicator</w:t>
                    </w:r>
                  </w:hyperlink>
                </w:p>
              </w:tc>
              <w:tc>
                <w:tcPr>
                  <w:vAlign w:val="top"/>
                </w:tcPr>
                <w:p>
                  <w:r>
                    <w:t xml:space="preserve">619860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487c0d74e384196">
                    <w:r>
                      <w:rPr>
                        <w:rStyle w:val="Hyperlink"/>
                      </w:rPr>
                      <w:t xml:space="preserve">Independent Hospital Pricing Authority funding designation </w:t>
                    </w:r>
                  </w:hyperlink>
                </w:p>
              </w:tc>
              <w:tc>
                <w:tcPr>
                  <w:vAlign w:val="top"/>
                </w:tcPr>
                <w:p>
                  <w:r>
                    <w:t xml:space="preserve">684457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Activity based funded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Block funded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designated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5017567c2fa480f">
                    <w:r>
                      <w:rPr>
                        <w:rStyle w:val="Hyperlink"/>
                      </w:rPr>
                      <w:t xml:space="preserve">Infectious diseases unit indicator</w:t>
                    </w:r>
                  </w:hyperlink>
                </w:p>
              </w:tc>
              <w:tc>
                <w:tcPr>
                  <w:vAlign w:val="top"/>
                </w:tcPr>
                <w:p>
                  <w:r>
                    <w:t xml:space="preserve">619888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836603a47824af6">
                    <w:r>
                      <w:rPr>
                        <w:rStyle w:val="Hyperlink"/>
                      </w:rPr>
                      <w:t xml:space="preserve">Intensive care unit level III indicator</w:t>
                    </w:r>
                  </w:hyperlink>
                </w:p>
              </w:tc>
              <w:tc>
                <w:tcPr>
                  <w:vAlign w:val="top"/>
                </w:tcPr>
                <w:p>
                  <w:r>
                    <w:t xml:space="preserve">619894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6f31d1df85c49d1">
                    <w:r>
                      <w:rPr>
                        <w:rStyle w:val="Hyperlink"/>
                      </w:rPr>
                      <w:t xml:space="preserve">In-vitro fertilisation unit indicator</w:t>
                    </w:r>
                  </w:hyperlink>
                </w:p>
              </w:tc>
              <w:tc>
                <w:tcPr>
                  <w:vAlign w:val="top"/>
                </w:tcPr>
                <w:p>
                  <w:r>
                    <w:t xml:space="preserve">619877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b4fdc92dc964fe4">
                    <w:r>
                      <w:rPr>
                        <w:rStyle w:val="Hyperlink"/>
                      </w:rPr>
                      <w:t xml:space="preserve">Liver transplantation unit indicator</w:t>
                    </w:r>
                  </w:hyperlink>
                </w:p>
              </w:tc>
              <w:tc>
                <w:tcPr>
                  <w:vAlign w:val="top"/>
                </w:tcPr>
                <w:p>
                  <w:r>
                    <w:t xml:space="preserve">619914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c96111ec0d34c48">
                    <w:r>
                      <w:rPr>
                        <w:rStyle w:val="Hyperlink"/>
                      </w:rPr>
                      <w:t xml:space="preserve">Local Hospital Network identifier</w:t>
                    </w:r>
                  </w:hyperlink>
                </w:p>
              </w:tc>
              <w:tc>
                <w:tcPr>
                  <w:vAlign w:val="top"/>
                </w:tcPr>
                <w:p>
                  <w:r>
                    <w:t xml:space="preserve">680985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0ee10f401f34d4b">
                    <w:r>
                      <w:rPr>
                        <w:rStyle w:val="Hyperlink"/>
                      </w:rPr>
                      <w:t xml:space="preserve">Maintenance renal dialysis centre indicator</w:t>
                    </w:r>
                  </w:hyperlink>
                </w:p>
              </w:tc>
              <w:tc>
                <w:tcPr>
                  <w:vAlign w:val="top"/>
                </w:tcPr>
                <w:p>
                  <w:r>
                    <w:t xml:space="preserve">619920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6c914dedb1a4827">
                    <w:r>
                      <w:rPr>
                        <w:rStyle w:val="Hyperlink"/>
                      </w:rPr>
                      <w:t xml:space="preserve">Major plastic/reconstructive surgery unit indicator</w:t>
                    </w:r>
                  </w:hyperlink>
                </w:p>
              </w:tc>
              <w:tc>
                <w:tcPr>
                  <w:vAlign w:val="top"/>
                </w:tcPr>
                <w:p>
                  <w:r>
                    <w:t xml:space="preserve">619941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904f90696994a8c">
                    <w:r>
                      <w:rPr>
                        <w:rStyle w:val="Hyperlink"/>
                      </w:rPr>
                      <w:t xml:space="preserve">Neonatal intensive care unit level III indicator</w:t>
                    </w:r>
                  </w:hyperlink>
                </w:p>
              </w:tc>
              <w:tc>
                <w:tcPr>
                  <w:vAlign w:val="top"/>
                </w:tcPr>
                <w:p>
                  <w:r>
                    <w:t xml:space="preserve">619947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b38a5b18ea64fa7">
                    <w:r>
                      <w:rPr>
                        <w:rStyle w:val="Hyperlink"/>
                      </w:rPr>
                      <w:t xml:space="preserve">Neurosurgical unit indicator</w:t>
                    </w:r>
                  </w:hyperlink>
                </w:p>
              </w:tc>
              <w:tc>
                <w:tcPr>
                  <w:vAlign w:val="top"/>
                </w:tcPr>
                <w:p>
                  <w:r>
                    <w:t xml:space="preserve">619953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4108c3798424026">
                    <w:r>
                      <w:rPr>
                        <w:rStyle w:val="Hyperlink"/>
                      </w:rPr>
                      <w:t xml:space="preserve">Nursing home care unit indicator</w:t>
                    </w:r>
                  </w:hyperlink>
                </w:p>
              </w:tc>
              <w:tc>
                <w:tcPr>
                  <w:vAlign w:val="top"/>
                </w:tcPr>
                <w:p>
                  <w:r>
                    <w:t xml:space="preserve">619959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7ebabb5e1ad43ee">
                    <w:r>
                      <w:rPr>
                        <w:rStyle w:val="Hyperlink"/>
                      </w:rPr>
                      <w:t xml:space="preserve">Obstetric/maternity unit indicator</w:t>
                    </w:r>
                  </w:hyperlink>
                </w:p>
              </w:tc>
              <w:tc>
                <w:tcPr>
                  <w:vAlign w:val="top"/>
                </w:tcPr>
                <w:p>
                  <w:r>
                    <w:t xml:space="preserve">619977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0a78318b506463f">
                    <w:r>
                      <w:rPr>
                        <w:rStyle w:val="Hyperlink"/>
                      </w:rPr>
                      <w:t xml:space="preserve">Oncology unit indicator</w:t>
                    </w:r>
                  </w:hyperlink>
                </w:p>
              </w:tc>
              <w:tc>
                <w:tcPr>
                  <w:vAlign w:val="top"/>
                </w:tcPr>
                <w:p>
                  <w:r>
                    <w:t xml:space="preserve">619990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ae331de13eb4975">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cd1c87cf2e714abf">
                    <w:r>
                      <w:rPr>
                        <w:rStyle w:val="Hyperlink"/>
                      </w:rPr>
                      <w:t xml:space="preserve">Pancreas transplantation unit indicator</w:t>
                    </w:r>
                  </w:hyperlink>
                </w:p>
              </w:tc>
              <w:tc>
                <w:tcPr>
                  <w:vAlign w:val="top"/>
                </w:tcPr>
                <w:p>
                  <w:r>
                    <w:t xml:space="preserve">619997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8348b37e67848cd">
                    <w:r>
                      <w:rPr>
                        <w:rStyle w:val="Hyperlink"/>
                      </w:rPr>
                      <w:t xml:space="preserve">Psychiatric unit/ward indicator</w:t>
                    </w:r>
                  </w:hyperlink>
                </w:p>
              </w:tc>
              <w:tc>
                <w:tcPr>
                  <w:vAlign w:val="top"/>
                </w:tcPr>
                <w:p>
                  <w:r>
                    <w:t xml:space="preserve">620003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f3e5296b71d41b1">
                    <w:r>
                      <w:rPr>
                        <w:rStyle w:val="Hyperlink"/>
                      </w:rPr>
                      <w:t xml:space="preserve">Rehabilitation unit indicator</w:t>
                    </w:r>
                  </w:hyperlink>
                </w:p>
              </w:tc>
              <w:tc>
                <w:tcPr>
                  <w:vAlign w:val="top"/>
                </w:tcPr>
                <w:p>
                  <w:r>
                    <w:t xml:space="preserve">620010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7fffa57a8924fb6">
                    <w:r>
                      <w:rPr>
                        <w:rStyle w:val="Hyperlink"/>
                      </w:rPr>
                      <w:t xml:space="preserve">Renal transplantation unit indicator</w:t>
                    </w:r>
                  </w:hyperlink>
                </w:p>
              </w:tc>
              <w:tc>
                <w:tcPr>
                  <w:vAlign w:val="top"/>
                </w:tcPr>
                <w:p>
                  <w:r>
                    <w:t xml:space="preserve">620019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e99766ce56c4751">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b1b03872a394704">
                    <w:r>
                      <w:rPr>
                        <w:rStyle w:val="Hyperlink"/>
                      </w:rPr>
                      <w:t xml:space="preserve">Sleep centre indicator</w:t>
                    </w:r>
                  </w:hyperlink>
                </w:p>
              </w:tc>
              <w:tc>
                <w:tcPr>
                  <w:vAlign w:val="top"/>
                </w:tcPr>
                <w:p>
                  <w:r>
                    <w:t xml:space="preserve">620026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275e819f66c4518">
                    <w:r>
                      <w:rPr>
                        <w:rStyle w:val="Hyperlink"/>
                      </w:rPr>
                      <w:t xml:space="preserve">Specialist paediatric unit indicator</w:t>
                    </w:r>
                  </w:hyperlink>
                </w:p>
              </w:tc>
              <w:tc>
                <w:tcPr>
                  <w:vAlign w:val="top"/>
                </w:tcPr>
                <w:p>
                  <w:r>
                    <w:t xml:space="preserve">620033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eb0586909044a2c">
                    <w:r>
                      <w:rPr>
                        <w:rStyle w:val="Hyperlink"/>
                      </w:rPr>
                      <w:t xml:space="preserve">Teaching status</w:t>
                    </w:r>
                  </w:hyperlink>
                </w:p>
              </w:tc>
              <w:tc>
                <w:tcPr>
                  <w:vAlign w:val="top"/>
                </w:tcPr>
                <w:p>
                  <w:r>
                    <w:t xml:space="preserve">642849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w:t>
                        </w:r>
                      </w:p>
                    </w:tc>
                  </w:tr>
                </w:tbl>
                <w:p/>
              </w:tc>
            </w:tr>
            <w:tr>
              <w:trPr/>
              <w:tc>
                <w:tcPr>
                  <w:tcMar>
                    <w:right w:w="29" w:type="dxa"/>
                  </w:tcMar>
                  <w:vAlign w:val="top"/>
                </w:tcPr>
                <w:p>
                  <w:pPr>
                    <w:keepNext/>
                    <w:jc w:val="center"/>
                  </w:pPr>
                  <w:r>
                    <w:t xml:space="preserve">-</w:t>
                  </w:r>
                </w:p>
              </w:tc>
              <w:tc>
                <w:tcPr>
                  <w:tcMar/>
                  <w:vAlign w:val="top"/>
                </w:tcPr>
                <w:p>
                  <w:hyperlink w:history="true" r:id="R39987b20b32c4d67">
                    <w:r>
                      <w:rPr>
                        <w:rStyle w:val="Hyperlink"/>
                      </w:rPr>
                      <w:t xml:space="preserve">State or territory health authority data element cluster</w:t>
                    </w:r>
                  </w:hyperlink>
                </w:p>
              </w:tc>
              <w:tc>
                <w:tcPr>
                  <w:vAlign w:val="top"/>
                </w:tcPr>
                <w:p>
                  <w:r>
                    <w:t xml:space="preserve">685096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02bde8d011044b2">
                    <w:r>
                      <w:rPr>
                        <w:rStyle w:val="Hyperlink"/>
                      </w:rPr>
                      <w:t xml:space="preserve">Full-time equivalent staffing data element cluster</w:t>
                    </w:r>
                  </w:hyperlink>
                </w:p>
              </w:tc>
              <w:tc>
                <w:tcPr>
                  <w:vAlign w:val="top"/>
                </w:tcPr>
                <w:p>
                  <w:r>
                    <w:t xml:space="preserve">616025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2e116f43ffcb41b5">
                    <w:r>
                      <w:rPr>
                        <w:rStyle w:val="Hyperlink"/>
                      </w:rPr>
                      <w:t xml:space="preserve">Average number of full-time equivalent staff</w:t>
                    </w:r>
                  </w:hyperlink>
                </w:p>
              </w:tc>
              <w:tc>
                <w:tcPr>
                  <w:vAlign w:val="top"/>
                </w:tcPr>
                <w:p>
                  <w:r>
                    <w:t xml:space="preserve">615998</w:t>
                  </w:r>
                </w:p>
              </w:tc>
              <w:tc>
                <w:tcPr>
                  <w:vAlign w:val="top"/>
                </w:tcPr>
                <w:p>
                  <w:r>
                    <w:t xml:space="preserve">Number
[9]</w:t>
                  </w:r>
                </w:p>
              </w:tc>
              <w:tc>
                <w:tcPr>
                  <w:vAlign w:val="top"/>
                </w:tcPr>
                <w:p>
                  <w:r>
                    <w:t xml:space="preserve">N[N(7){.N}]</w:t>
                  </w:r>
                  <w:r>
                    <w:br/>
                  </w:r>
                  <w:r>
                    <w:t xml:space="preserve">A numeric value representing the arithmetic mean of full-time equivalent units.</w:t>
                  </w:r>
                </w:p>
              </w:tc>
            </w:tr>
            <w:tr>
              <w:trPr/>
              <w:tc>
                <w:tcPr>
                  <w:tcMar>
                    <w:right w:w="29" w:type="dxa"/>
                  </w:tcMar>
                  <w:vAlign w:val="top"/>
                </w:tcPr>
                <w:p>
                  <w:pPr>
                    <w:keepNext/>
                    <w:jc w:val="center"/>
                  </w:pPr>
                  <w:r>
                    <w:t xml:space="preserve">            -</w:t>
                  </w:r>
                </w:p>
              </w:tc>
              <w:tc>
                <w:tcPr>
                  <w:tcMar>
                    <w:left w:w="450" w:type="dxa"/>
                  </w:tcMar>
                  <w:vAlign w:val="top"/>
                </w:tcPr>
                <w:p>
                  <w:hyperlink w:history="true" r:id="R117e077bccd64773">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9618a639812433d">
                    <w:r>
                      <w:rPr>
                        <w:rStyle w:val="Hyperlink"/>
                      </w:rPr>
                      <w:t xml:space="preserve">Recurrent contracted care expenditure data element cluster</w:t>
                    </w:r>
                  </w:hyperlink>
                </w:p>
              </w:tc>
              <w:tc>
                <w:tcPr>
                  <w:vAlign w:val="top"/>
                </w:tcPr>
                <w:p>
                  <w:r>
                    <w:t xml:space="preserve">679211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393b71ae0cc84cd6">
                    <w:r>
                      <w:rPr>
                        <w:rStyle w:val="Hyperlink"/>
                      </w:rPr>
                      <w:t xml:space="preserve">Recurrent contracted care expenditure product streams</w:t>
                    </w:r>
                  </w:hyperlink>
                </w:p>
              </w:tc>
              <w:tc>
                <w:tcPr>
                  <w:vAlign w:val="top"/>
                </w:tcPr>
                <w:p>
                  <w:r>
                    <w:t xml:space="preserve">679208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(excluding emergency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(excluding emergency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Admitted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Emergency care services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Depreciation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(out-of-scope for the NHRA)</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bea571a302b84fd6">
                    <w:r>
                      <w:rPr>
                        <w:rStyle w:val="Hyperlink"/>
                      </w:rPr>
                      <w:t xml:space="preserve">Recurrent contracted care expenditure in Australian dollars</w:t>
                    </w:r>
                  </w:hyperlink>
                </w:p>
              </w:tc>
              <w:tc>
                <w:tcPr>
                  <w:vAlign w:val="top"/>
                </w:tcPr>
                <w:p>
                  <w:r>
                    <w:t xml:space="preserve">684914</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baac35de038f4e3b">
                    <w:r>
                      <w:rPr>
                        <w:rStyle w:val="Hyperlink"/>
                      </w:rPr>
                      <w:t xml:space="preserve">Recurrent non-salary expenditure data element cluster</w:t>
                    </w:r>
                  </w:hyperlink>
                </w:p>
              </w:tc>
              <w:tc>
                <w:tcPr>
                  <w:vAlign w:val="top"/>
                </w:tcPr>
                <w:p>
                  <w:r>
                    <w:t xml:space="preserve">616030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27c5a54b684c4789">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d598ecdbf008460a">
                    <w:r>
                      <w:rPr>
                        <w:rStyle w:val="Hyperlink"/>
                      </w:rPr>
                      <w:t xml:space="preserve">Recurrent non-salary public hospital expenditure categories</w:t>
                    </w:r>
                  </w:hyperlink>
                </w:p>
              </w:tc>
              <w:tc>
                <w:tcPr>
                  <w:vAlign w:val="top"/>
                </w:tcPr>
                <w:p>
                  <w:r>
                    <w:t xml:space="preserve">542106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expenses - insurance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Administrative expenses - other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Depreciation - building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Depreciation - other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Domestic services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Interest payments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Lease costs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Patient transport costs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Repairs and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Superannuation employer contributions </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 on-costs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Supplies - drug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Supplies - food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Supplies - medical and surgical</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Visiting medical officer payments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Not elsewhere recorded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bf919fb0733e4a99">
                    <w:r>
                      <w:rPr>
                        <w:rStyle w:val="Hyperlink"/>
                      </w:rPr>
                      <w:t xml:space="preserve">Recurrent non-salary expenditure total dollars</w:t>
                    </w:r>
                  </w:hyperlink>
                </w:p>
              </w:tc>
              <w:tc>
                <w:tcPr>
                  <w:vAlign w:val="top"/>
                </w:tcPr>
                <w:p>
                  <w:r>
                    <w:t xml:space="preserve">616003</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d42a18838e1c47fd">
                    <w:r>
                      <w:rPr>
                        <w:rStyle w:val="Hyperlink"/>
                      </w:rPr>
                      <w:t xml:space="preserve">Recurrent salaries and wages expenditure data element cluster</w:t>
                    </w:r>
                  </w:hyperlink>
                </w:p>
              </w:tc>
              <w:tc>
                <w:tcPr>
                  <w:vAlign w:val="top"/>
                </w:tcPr>
                <w:p>
                  <w:r>
                    <w:t xml:space="preserve">616033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7e11899e55c44642">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86f9ddc023cc42a4">
                    <w:r>
                      <w:rPr>
                        <w:rStyle w:val="Hyperlink"/>
                      </w:rPr>
                      <w:t xml:space="preserve">Salaries and wages</w:t>
                    </w:r>
                  </w:hyperlink>
                </w:p>
              </w:tc>
              <w:tc>
                <w:tcPr>
                  <w:vAlign w:val="top"/>
                </w:tcPr>
                <w:p>
                  <w:r>
                    <w:t xml:space="preserve">616005</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450" w:type="dxa"/>
                  </w:tcMar>
                  <w:vAlign w:val="top"/>
                </w:tcPr>
                <w:p>
                  <w:hyperlink w:history="true" r:id="Re02eb85318bd4fbf">
                    <w:r>
                      <w:rPr>
                        <w:rStyle w:val="Hyperlink"/>
                      </w:rPr>
                      <w:t xml:space="preserve">Establishment staffing categories</w:t>
                    </w:r>
                  </w:hyperlink>
                </w:p>
              </w:tc>
              <w:tc>
                <w:tcPr>
                  <w:vAlign w:val="top"/>
                </w:tcPr>
                <w:p>
                  <w:r>
                    <w:t xml:space="preserve">620091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Administrative and clerical staff</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Diagnostic and allied health professionals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 and other staff</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Enrolled nurses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personal care staff</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Registered nurses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Specialist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salaried medical officers (SMOs)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Student nurses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Trainee/pupil nurses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fcf8fee9e9c4d24">
                    <w:r>
                      <w:rPr>
                        <w:rStyle w:val="Hyperlink"/>
                      </w:rPr>
                      <w:t xml:space="preserve">Revenue data element cluster</w:t>
                    </w:r>
                  </w:hyperlink>
                </w:p>
              </w:tc>
              <w:tc>
                <w:tcPr>
                  <w:vAlign w:val="top"/>
                </w:tcPr>
                <w:p>
                  <w:r>
                    <w:t xml:space="preserve">643062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1959abdedc63422f">
                    <w:r>
                      <w:rPr>
                        <w:rStyle w:val="Hyperlink"/>
                      </w:rPr>
                      <w:t xml:space="preserve">Estimated data indicator</w:t>
                    </w:r>
                  </w:hyperlink>
                </w:p>
              </w:tc>
              <w:tc>
                <w:tcPr>
                  <w:vAlign w:val="top"/>
                </w:tcPr>
                <w:p>
                  <w:r>
                    <w:t xml:space="preserve">548891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e8447ba13b754423">
                    <w:r>
                      <w:rPr>
                        <w:rStyle w:val="Hyperlink"/>
                      </w:rPr>
                      <w:t xml:space="preserve">Public hospital recurrent expenditure related revenue categories</w:t>
                    </w:r>
                  </w:hyperlink>
                </w:p>
              </w:tc>
              <w:tc>
                <w:tcPr>
                  <w:vAlign w:val="top"/>
                </w:tcPr>
                <w:p>
                  <w:r>
                    <w:t xml:space="preserve">643082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Compensable schemes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patient revenue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Commonwealth funding/subsidies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or territory health authority funding</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state or territory funding</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National Health Funding Pool - state or territory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National Health Funding Pool - Commonwealth government component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Infrastructure/facility fees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recoveries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Revenue not elsewhere reported</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4359961eb5d84f33">
                    <w:r>
                      <w:rPr>
                        <w:rStyle w:val="Hyperlink"/>
                      </w:rPr>
                      <w:t xml:space="preserve">Public hospital recurrent expenditure related revenue in Australian dollars</w:t>
                    </w:r>
                  </w:hyperlink>
                </w:p>
              </w:tc>
              <w:tc>
                <w:tcPr>
                  <w:vAlign w:val="top"/>
                </w:tcPr>
                <w:p>
                  <w:r>
                    <w:t xml:space="preserve">643142</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732feb0cca0d4b79">
                    <w:r>
                      <w:rPr>
                        <w:rStyle w:val="Hyperlink"/>
                      </w:rPr>
                      <w:t xml:space="preserve">Total recurrent expenditure on National Health Reform Agreement product streams data element cluster</w:t>
                    </w:r>
                  </w:hyperlink>
                </w:p>
              </w:tc>
              <w:tc>
                <w:tcPr>
                  <w:vAlign w:val="top"/>
                </w:tcPr>
                <w:p>
                  <w:r>
                    <w:t xml:space="preserve">679213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b5160040af61430e">
                    <w:r>
                      <w:rPr>
                        <w:rStyle w:val="Hyperlink"/>
                      </w:rPr>
                      <w:t xml:space="preserve">Recurrent expenditure by NHRA product streams</w:t>
                    </w:r>
                  </w:hyperlink>
                </w:p>
              </w:tc>
              <w:tc>
                <w:tcPr>
                  <w:vAlign w:val="top"/>
                </w:tcPr>
                <w:p>
                  <w:r>
                    <w:t xml:space="preserve">679293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Admitted mental health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Emergency care services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Non-admitted care (excluding emergency care) (in-scope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Direct teaching, training and research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Commonwealth funded aged care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aged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Non-admitted care (excluding emergency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Admitted 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Admitted subacute and non-acute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admitted care (excluding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Admitted mental health care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Emergency care services (out-of-scope for the NHRA)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Depreciation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(out-of-scope for the NHRA)</w:t>
                        </w:r>
                      </w:p>
                    </w:tc>
                  </w:tr>
                </w:tbl>
                <w:p/>
              </w:tc>
            </w:tr>
            <w:tr>
              <w:trPr/>
              <w:tc>
                <w:tcPr>
                  <w:tcMar>
                    <w:right w:w="29" w:type="dxa"/>
                  </w:tcMar>
                  <w:vAlign w:val="top"/>
                </w:tcPr>
                <w:p>
                  <w:pPr>
                    <w:keepNext/>
                    <w:jc w:val="center"/>
                  </w:pPr>
                  <w:r>
                    <w:t xml:space="preserve">            -</w:t>
                  </w:r>
                </w:p>
              </w:tc>
              <w:tc>
                <w:tcPr>
                  <w:tcMar>
                    <w:left w:w="450" w:type="dxa"/>
                  </w:tcMar>
                  <w:vAlign w:val="top"/>
                </w:tcPr>
                <w:p>
                  <w:hyperlink w:history="true" r:id="R8061e956d94b4ded">
                    <w:r>
                      <w:rPr>
                        <w:rStyle w:val="Hyperlink"/>
                      </w:rPr>
                      <w:t xml:space="preserve">Total recurrent expenditure in Australian dollars</w:t>
                    </w:r>
                  </w:hyperlink>
                </w:p>
              </w:tc>
              <w:tc>
                <w:tcPr>
                  <w:vAlign w:val="top"/>
                </w:tcPr>
                <w:p>
                  <w:r>
                    <w:t xml:space="preserve">608186</w:t>
                  </w:r>
                </w:p>
              </w:tc>
              <w:tc>
                <w:tcPr>
                  <w:vAlign w:val="top"/>
                </w:tcPr>
                <w:p>
                  <w:r>
                    <w:t xml:space="preserve">Currency
[14]</w:t>
                  </w:r>
                </w:p>
              </w:tc>
              <w:tc>
                <w:tcPr>
                  <w:vAlign w:val="top"/>
                </w:tcPr>
                <w:p>
                  <w:r>
                    <w:t xml:space="preserve">N[N(13)]</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1c10ceb5a0604a89">
                    <w:r>
                      <w:rPr>
                        <w:rStyle w:val="Hyperlink"/>
                      </w:rPr>
                      <w:t xml:space="preserve">Average available beds for admitted contracted care</w:t>
                    </w:r>
                  </w:hyperlink>
                </w:p>
              </w:tc>
              <w:tc>
                <w:tcPr>
                  <w:vAlign w:val="top"/>
                </w:tcPr>
                <w:p>
                  <w:r>
                    <w:t xml:space="preserve">616011</w:t>
                  </w:r>
                </w:p>
              </w:tc>
              <w:tc>
                <w:tcPr>
                  <w:vAlign w:val="top"/>
                </w:tcPr>
                <w:p>
                  <w:r>
                    <w:t xml:space="preserve">Number
[9]</w:t>
                  </w:r>
                </w:p>
              </w:tc>
              <w:tc>
                <w:tcPr>
                  <w:vAlign w:val="top"/>
                </w:tcPr>
                <w:p>
                  <w:r>
                    <w:t xml:space="preserve">N[N(7).N]</w:t>
                  </w:r>
                  <w:r>
                    <w:br/>
                  </w:r>
                </w:p>
                <w:p>
                  <w:r>
                    <w:t xml:space="preserve">A numeric value representing an arithmetic mean of beds.</w:t>
                  </w:r>
                </w:p>
              </w:tc>
            </w:tr>
            <w:tr>
              <w:trPr/>
              <w:tc>
                <w:tcPr>
                  <w:tcMar>
                    <w:right w:w="29" w:type="dxa"/>
                  </w:tcMar>
                  <w:vAlign w:val="top"/>
                </w:tcPr>
                <w:p>
                  <w:pPr>
                    <w:keepNext/>
                    <w:jc w:val="center"/>
                  </w:pPr>
                  <w:r>
                    <w:t xml:space="preserve">      -</w:t>
                  </w:r>
                </w:p>
              </w:tc>
              <w:tc>
                <w:tcPr>
                  <w:tcMar>
                    <w:left w:w="225" w:type="dxa"/>
                  </w:tcMar>
                  <w:vAlign w:val="top"/>
                </w:tcPr>
                <w:p>
                  <w:hyperlink w:history="true" r:id="Re8c49c1b64b94360">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ccc068eb55e416a">
                    <w:r>
                      <w:rPr>
                        <w:rStyle w:val="Hyperlink"/>
                      </w:rPr>
                      <w:t xml:space="preserve">Local Hospital Network identifier</w:t>
                    </w:r>
                  </w:hyperlink>
                </w:p>
              </w:tc>
              <w:tc>
                <w:tcPr>
                  <w:vAlign w:val="top"/>
                </w:tcPr>
                <w:p>
                  <w:r>
                    <w:t xml:space="preserve">680985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5fe3a61f0dd4ff5">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bl>
          <w:p/>
        </w:tc>
      </w:tr>
    </w:tbl>
    <w:p>
      <w:r>
        <w:br/>
      </w:r>
    </w:p>
    <w:sectPr>
      <w:footerReference xmlns:r="http://schemas.openxmlformats.org/officeDocument/2006/relationships" w:type="default" r:id="Rfe99d2441c204d4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3ce40991a4c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9d2441c204d48" /><Relationship Type="http://schemas.openxmlformats.org/officeDocument/2006/relationships/header" Target="/word/header1.xml" Id="Rcb3a4715d82d429e" /><Relationship Type="http://schemas.openxmlformats.org/officeDocument/2006/relationships/settings" Target="/word/settings.xml" Id="R59a564ca68b24df5" /><Relationship Type="http://schemas.openxmlformats.org/officeDocument/2006/relationships/styles" Target="/word/styles.xml" Id="Rd53f673bc4734a59" /><Relationship Type="http://schemas.openxmlformats.org/officeDocument/2006/relationships/hyperlink" Target="https://meteor-uat.aihw.gov.au/content/679215" TargetMode="External" Id="R3cd874e571c34261" /><Relationship Type="http://schemas.openxmlformats.org/officeDocument/2006/relationships/hyperlink" Target="https://meteor-uat.aihw.gov.au/content/616025" TargetMode="External" Id="Rcfe5fd2003084c90" /><Relationship Type="http://schemas.openxmlformats.org/officeDocument/2006/relationships/hyperlink" Target="https://meteor-uat.aihw.gov.au/content/615998" TargetMode="External" Id="R7ace484f99f442d2" /><Relationship Type="http://schemas.openxmlformats.org/officeDocument/2006/relationships/hyperlink" Target="https://meteor-uat.aihw.gov.au/content/620091" TargetMode="External" Id="Rc9468f765a7d4b28" /><Relationship Type="http://schemas.openxmlformats.org/officeDocument/2006/relationships/hyperlink" Target="https://meteor-uat.aihw.gov.au/content/679211" TargetMode="External" Id="R40f42bbfb0c247d4" /><Relationship Type="http://schemas.openxmlformats.org/officeDocument/2006/relationships/hyperlink" Target="https://meteor-uat.aihw.gov.au/content/679208" TargetMode="External" Id="Rd928fcdf92094ee6" /><Relationship Type="http://schemas.openxmlformats.org/officeDocument/2006/relationships/hyperlink" Target="https://meteor-uat.aihw.gov.au/content/684914" TargetMode="External" Id="R23503dd676c14f16" /><Relationship Type="http://schemas.openxmlformats.org/officeDocument/2006/relationships/hyperlink" Target="https://meteor-uat.aihw.gov.au/content/616030" TargetMode="External" Id="R8d20ebec3fad4ffd" /><Relationship Type="http://schemas.openxmlformats.org/officeDocument/2006/relationships/hyperlink" Target="https://meteor-uat.aihw.gov.au/content/548891" TargetMode="External" Id="Rea7a19ae10184da9" /><Relationship Type="http://schemas.openxmlformats.org/officeDocument/2006/relationships/hyperlink" Target="https://meteor-uat.aihw.gov.au/content/542106" TargetMode="External" Id="Re5803acb0d244b41" /><Relationship Type="http://schemas.openxmlformats.org/officeDocument/2006/relationships/hyperlink" Target="https://meteor-uat.aihw.gov.au/content/616003" TargetMode="External" Id="R92046549592a4ff6" /><Relationship Type="http://schemas.openxmlformats.org/officeDocument/2006/relationships/hyperlink" Target="https://meteor-uat.aihw.gov.au/content/616033" TargetMode="External" Id="Rec631d28c82b4f55" /><Relationship Type="http://schemas.openxmlformats.org/officeDocument/2006/relationships/hyperlink" Target="https://meteor-uat.aihw.gov.au/content/548891" TargetMode="External" Id="R88a011830f024826" /><Relationship Type="http://schemas.openxmlformats.org/officeDocument/2006/relationships/hyperlink" Target="https://meteor-uat.aihw.gov.au/content/616005" TargetMode="External" Id="R8749713c733747eb" /><Relationship Type="http://schemas.openxmlformats.org/officeDocument/2006/relationships/hyperlink" Target="https://meteor-uat.aihw.gov.au/content/620091" TargetMode="External" Id="Rfe10216b6a324edd" /><Relationship Type="http://schemas.openxmlformats.org/officeDocument/2006/relationships/hyperlink" Target="https://meteor-uat.aihw.gov.au/content/643062" TargetMode="External" Id="R0d13189dfca847dc" /><Relationship Type="http://schemas.openxmlformats.org/officeDocument/2006/relationships/hyperlink" Target="https://meteor-uat.aihw.gov.au/content/548891" TargetMode="External" Id="R976969b25b5a495a" /><Relationship Type="http://schemas.openxmlformats.org/officeDocument/2006/relationships/hyperlink" Target="https://meteor-uat.aihw.gov.au/content/643082" TargetMode="External" Id="Rc8cffb2288694700" /><Relationship Type="http://schemas.openxmlformats.org/officeDocument/2006/relationships/hyperlink" Target="https://meteor-uat.aihw.gov.au/content/643142" TargetMode="External" Id="R81eb54adcd724dbe" /><Relationship Type="http://schemas.openxmlformats.org/officeDocument/2006/relationships/hyperlink" Target="https://meteor-uat.aihw.gov.au/content/679213" TargetMode="External" Id="Rd014b7c2be5241a4" /><Relationship Type="http://schemas.openxmlformats.org/officeDocument/2006/relationships/hyperlink" Target="https://meteor-uat.aihw.gov.au/content/679293" TargetMode="External" Id="R5e8f11e9519c4a38" /><Relationship Type="http://schemas.openxmlformats.org/officeDocument/2006/relationships/hyperlink" Target="https://meteor-uat.aihw.gov.au/content/608186" TargetMode="External" Id="Rceb3442bcb05498b" /><Relationship Type="http://schemas.openxmlformats.org/officeDocument/2006/relationships/hyperlink" Target="https://meteor-uat.aihw.gov.au/content/616011" TargetMode="External" Id="R17740f7129414f39" /><Relationship Type="http://schemas.openxmlformats.org/officeDocument/2006/relationships/hyperlink" Target="https://meteor-uat.aihw.gov.au/content/269941" TargetMode="External" Id="Rb37512a95b604a43" /><Relationship Type="http://schemas.openxmlformats.org/officeDocument/2006/relationships/hyperlink" Target="https://meteor-uat.aihw.gov.au/content/680985" TargetMode="External" Id="R829b9c5454964acb" /><Relationship Type="http://schemas.openxmlformats.org/officeDocument/2006/relationships/hyperlink" Target="https://meteor-uat.aihw.gov.au/content/269975" TargetMode="External" Id="Rd26d5681a5084933" /><Relationship Type="http://schemas.openxmlformats.org/officeDocument/2006/relationships/hyperlink" Target="https://meteor-uat.aihw.gov.au/content/679217" TargetMode="External" Id="Ra33c0a43f440403b" /><Relationship Type="http://schemas.openxmlformats.org/officeDocument/2006/relationships/hyperlink" Target="https://meteor-uat.aihw.gov.au/content/619372" TargetMode="External" Id="R7ea649dd41034fe0" /><Relationship Type="http://schemas.openxmlformats.org/officeDocument/2006/relationships/hyperlink" Target="https://meteor-uat.aihw.gov.au/content/429252" TargetMode="External" Id="R7e507e2c44ec4c10" /><Relationship Type="http://schemas.openxmlformats.org/officeDocument/2006/relationships/hyperlink" Target="https://meteor-uat.aihw.gov.au/content/611398" TargetMode="External" Id="R05376d9b73c14ce9" /><Relationship Type="http://schemas.openxmlformats.org/officeDocument/2006/relationships/hyperlink" Target="https://meteor-uat.aihw.gov.au/content/430134" TargetMode="External" Id="R3e5e72fc069b444e" /><Relationship Type="http://schemas.openxmlformats.org/officeDocument/2006/relationships/hyperlink" Target="https://meteor-uat.aihw.gov.au/content/429376" TargetMode="External" Id="Ra555e6097beb489c" /><Relationship Type="http://schemas.openxmlformats.org/officeDocument/2006/relationships/hyperlink" Target="https://meteor-uat.aihw.gov.au/content/429268" TargetMode="External" Id="R423078ccdbe14970" /><Relationship Type="http://schemas.openxmlformats.org/officeDocument/2006/relationships/hyperlink" Target="https://meteor-uat.aihw.gov.au/content/429264" TargetMode="External" Id="Rbe273b4ca8174efc" /><Relationship Type="http://schemas.openxmlformats.org/officeDocument/2006/relationships/hyperlink" Target="https://meteor-uat.aihw.gov.au/content/429387" TargetMode="External" Id="R3b03cb223cbe4f36" /><Relationship Type="http://schemas.openxmlformats.org/officeDocument/2006/relationships/hyperlink" Target="https://meteor-uat.aihw.gov.au/content/429068" TargetMode="External" Id="R560bad55ac0344e2" /><Relationship Type="http://schemas.openxmlformats.org/officeDocument/2006/relationships/hyperlink" Target="https://meteor-uat.aihw.gov.au/content/429747" TargetMode="External" Id="R227eca0c69bd40c1" /><Relationship Type="http://schemas.openxmlformats.org/officeDocument/2006/relationships/hyperlink" Target="https://meteor-uat.aihw.gov.au/content/429586" TargetMode="External" Id="Rdaaf0cc9cdfa4e82" /><Relationship Type="http://schemas.openxmlformats.org/officeDocument/2006/relationships/hyperlink" Target="https://meteor-uat.aihw.gov.au/content/429594" TargetMode="External" Id="R808ebd5207c340ec" /><Relationship Type="http://schemas.openxmlformats.org/officeDocument/2006/relationships/hyperlink" Target="https://meteor-uat.aihw.gov.au/content/429840" TargetMode="External" Id="R407d39fa8f154b20" /><Relationship Type="http://schemas.openxmlformats.org/officeDocument/2006/relationships/hyperlink" Target="https://meteor-uat.aihw.gov.au/content/429404" TargetMode="External" Id="R5dd5a4cfcf804b84" /><Relationship Type="http://schemas.openxmlformats.org/officeDocument/2006/relationships/hyperlink" Target="https://meteor-uat.aihw.gov.au/content/429012" TargetMode="External" Id="R596589d7a927484c" /><Relationship Type="http://schemas.openxmlformats.org/officeDocument/2006/relationships/hyperlink" Target="https://meteor-uat.aihw.gov.au/content/429889" TargetMode="External" Id="Rf4480e214d644fff" /><Relationship Type="http://schemas.openxmlformats.org/officeDocument/2006/relationships/hyperlink" Target="https://meteor-uat.aihw.gov.au/content/269973" TargetMode="External" Id="Ra7ffb72491424be1" /><Relationship Type="http://schemas.openxmlformats.org/officeDocument/2006/relationships/hyperlink" Target="https://meteor-uat.aihw.gov.au/content/616025" TargetMode="External" Id="Rab8c9a56cb3845d8" /><Relationship Type="http://schemas.openxmlformats.org/officeDocument/2006/relationships/hyperlink" Target="https://meteor-uat.aihw.gov.au/content/615998" TargetMode="External" Id="R5aad34f988254e69" /><Relationship Type="http://schemas.openxmlformats.org/officeDocument/2006/relationships/hyperlink" Target="https://meteor-uat.aihw.gov.au/content/620091" TargetMode="External" Id="Rf9e7fb4eb52d410b" /><Relationship Type="http://schemas.openxmlformats.org/officeDocument/2006/relationships/hyperlink" Target="https://meteor-uat.aihw.gov.au/content/679211" TargetMode="External" Id="Rea9ab705d2964330" /><Relationship Type="http://schemas.openxmlformats.org/officeDocument/2006/relationships/hyperlink" Target="https://meteor-uat.aihw.gov.au/content/679208" TargetMode="External" Id="Raa92d498dab5419d" /><Relationship Type="http://schemas.openxmlformats.org/officeDocument/2006/relationships/hyperlink" Target="https://meteor-uat.aihw.gov.au/content/684914" TargetMode="External" Id="Rc35980027dd44997" /><Relationship Type="http://schemas.openxmlformats.org/officeDocument/2006/relationships/hyperlink" Target="https://meteor-uat.aihw.gov.au/content/616030" TargetMode="External" Id="Rae4fe95d90a64a91" /><Relationship Type="http://schemas.openxmlformats.org/officeDocument/2006/relationships/hyperlink" Target="https://meteor-uat.aihw.gov.au/content/548891" TargetMode="External" Id="R33140c4694684bfe" /><Relationship Type="http://schemas.openxmlformats.org/officeDocument/2006/relationships/hyperlink" Target="https://meteor-uat.aihw.gov.au/content/542106" TargetMode="External" Id="Rfff6efff615b4b1c" /><Relationship Type="http://schemas.openxmlformats.org/officeDocument/2006/relationships/hyperlink" Target="https://meteor-uat.aihw.gov.au/content/616003" TargetMode="External" Id="R6ae097835f394633" /><Relationship Type="http://schemas.openxmlformats.org/officeDocument/2006/relationships/hyperlink" Target="https://meteor-uat.aihw.gov.au/content/616033" TargetMode="External" Id="R6621b909efcc4fb2" /><Relationship Type="http://schemas.openxmlformats.org/officeDocument/2006/relationships/hyperlink" Target="https://meteor-uat.aihw.gov.au/content/548891" TargetMode="External" Id="Rc2464819cb554302" /><Relationship Type="http://schemas.openxmlformats.org/officeDocument/2006/relationships/hyperlink" Target="https://meteor-uat.aihw.gov.au/content/616005" TargetMode="External" Id="R7acc40b6277748b5" /><Relationship Type="http://schemas.openxmlformats.org/officeDocument/2006/relationships/hyperlink" Target="https://meteor-uat.aihw.gov.au/content/620091" TargetMode="External" Id="R6097f3ec3d4c48d7" /><Relationship Type="http://schemas.openxmlformats.org/officeDocument/2006/relationships/hyperlink" Target="https://meteor-uat.aihw.gov.au/content/643062" TargetMode="External" Id="Rcf544b5c9dde438e" /><Relationship Type="http://schemas.openxmlformats.org/officeDocument/2006/relationships/hyperlink" Target="https://meteor-uat.aihw.gov.au/content/548891" TargetMode="External" Id="Rf9327b3ff640472f" /><Relationship Type="http://schemas.openxmlformats.org/officeDocument/2006/relationships/hyperlink" Target="https://meteor-uat.aihw.gov.au/content/643082" TargetMode="External" Id="R2de863bde64e447a" /><Relationship Type="http://schemas.openxmlformats.org/officeDocument/2006/relationships/hyperlink" Target="https://meteor-uat.aihw.gov.au/content/643142" TargetMode="External" Id="R8543089854d44fca" /><Relationship Type="http://schemas.openxmlformats.org/officeDocument/2006/relationships/hyperlink" Target="https://meteor-uat.aihw.gov.au/content/679213" TargetMode="External" Id="Re153d97082274e8d" /><Relationship Type="http://schemas.openxmlformats.org/officeDocument/2006/relationships/hyperlink" Target="https://meteor-uat.aihw.gov.au/content/679293" TargetMode="External" Id="R063ffb36ddfe4ae7" /><Relationship Type="http://schemas.openxmlformats.org/officeDocument/2006/relationships/hyperlink" Target="https://meteor-uat.aihw.gov.au/content/608186" TargetMode="External" Id="R0d83860e5c8d4564" /><Relationship Type="http://schemas.openxmlformats.org/officeDocument/2006/relationships/hyperlink" Target="https://meteor-uat.aihw.gov.au/content/659774" TargetMode="External" Id="R54f37d324b7b4ea5" /><Relationship Type="http://schemas.openxmlformats.org/officeDocument/2006/relationships/hyperlink" Target="https://meteor-uat.aihw.gov.au/content/616011" TargetMode="External" Id="R625e9e62b1d6426c" /><Relationship Type="http://schemas.openxmlformats.org/officeDocument/2006/relationships/hyperlink" Target="https://meteor-uat.aihw.gov.au/content/616014" TargetMode="External" Id="Re1bf9a767d2d4294" /><Relationship Type="http://schemas.openxmlformats.org/officeDocument/2006/relationships/hyperlink" Target="https://meteor-uat.aihw.gov.au/content/616017" TargetMode="External" Id="R1c1a3a025f2a4361" /><Relationship Type="http://schemas.openxmlformats.org/officeDocument/2006/relationships/hyperlink" Target="https://meteor-uat.aihw.gov.au/content/619614" TargetMode="External" Id="R59233089101f4aed" /><Relationship Type="http://schemas.openxmlformats.org/officeDocument/2006/relationships/hyperlink" Target="https://meteor-uat.aihw.gov.au/content/619627" TargetMode="External" Id="R9bf9c94d581b4735" /><Relationship Type="http://schemas.openxmlformats.org/officeDocument/2006/relationships/hyperlink" Target="https://meteor-uat.aihw.gov.au/content/619640" TargetMode="External" Id="R3dddb62f037346db" /><Relationship Type="http://schemas.openxmlformats.org/officeDocument/2006/relationships/hyperlink" Target="https://meteor-uat.aihw.gov.au/content/619655" TargetMode="External" Id="R32ce906dd1b44d32" /><Relationship Type="http://schemas.openxmlformats.org/officeDocument/2006/relationships/hyperlink" Target="https://meteor-uat.aihw.gov.au/content/269941" TargetMode="External" Id="R5f50f4ba4d9046b4" /><Relationship Type="http://schemas.openxmlformats.org/officeDocument/2006/relationships/hyperlink" Target="https://meteor-uat.aihw.gov.au/content/619693" TargetMode="External" Id="R7ad0e7b7d33249d2" /><Relationship Type="http://schemas.openxmlformats.org/officeDocument/2006/relationships/hyperlink" Target="https://meteor-uat.aihw.gov.au/content/619702" TargetMode="External" Id="R44bd850fa32d4b24" /><Relationship Type="http://schemas.openxmlformats.org/officeDocument/2006/relationships/hyperlink" Target="https://meteor-uat.aihw.gov.au/content/619713" TargetMode="External" Id="Rddecea096ac74ae4" /><Relationship Type="http://schemas.openxmlformats.org/officeDocument/2006/relationships/hyperlink" Target="https://meteor-uat.aihw.gov.au/content/619723" TargetMode="External" Id="R7784db719b854220" /><Relationship Type="http://schemas.openxmlformats.org/officeDocument/2006/relationships/hyperlink" Target="https://meteor-uat.aihw.gov.au/content/619743" TargetMode="External" Id="R4c246bb137494224" /><Relationship Type="http://schemas.openxmlformats.org/officeDocument/2006/relationships/hyperlink" Target="https://meteor-uat.aihw.gov.au/content/619758" TargetMode="External" Id="R9f6eca8bd88a4202" /><Relationship Type="http://schemas.openxmlformats.org/officeDocument/2006/relationships/hyperlink" Target="https://meteor-uat.aihw.gov.au/content/619769" TargetMode="External" Id="R65023398185d4eeb" /><Relationship Type="http://schemas.openxmlformats.org/officeDocument/2006/relationships/hyperlink" Target="https://meteor-uat.aihw.gov.au/content/619790" TargetMode="External" Id="R90dcec753c3a4810" /><Relationship Type="http://schemas.openxmlformats.org/officeDocument/2006/relationships/hyperlink" Target="https://meteor-uat.aihw.gov.au/content/684439" TargetMode="External" Id="Rf0626e43ddd74f48" /><Relationship Type="http://schemas.openxmlformats.org/officeDocument/2006/relationships/hyperlink" Target="https://meteor-uat.aihw.gov.au/content/619809" TargetMode="External" Id="Rd0df4688381043cd" /><Relationship Type="http://schemas.openxmlformats.org/officeDocument/2006/relationships/hyperlink" Target="https://meteor-uat.aihw.gov.au/content/619822" TargetMode="External" Id="R51031356403847ad" /><Relationship Type="http://schemas.openxmlformats.org/officeDocument/2006/relationships/hyperlink" Target="https://meteor-uat.aihw.gov.au/content/619860" TargetMode="External" Id="R53808c063446463e" /><Relationship Type="http://schemas.openxmlformats.org/officeDocument/2006/relationships/hyperlink" Target="https://meteor-uat.aihw.gov.au/content/684457" TargetMode="External" Id="Rc487c0d74e384196" /><Relationship Type="http://schemas.openxmlformats.org/officeDocument/2006/relationships/hyperlink" Target="https://meteor-uat.aihw.gov.au/content/619888" TargetMode="External" Id="R35017567c2fa480f" /><Relationship Type="http://schemas.openxmlformats.org/officeDocument/2006/relationships/hyperlink" Target="https://meteor-uat.aihw.gov.au/content/619894" TargetMode="External" Id="Rc836603a47824af6" /><Relationship Type="http://schemas.openxmlformats.org/officeDocument/2006/relationships/hyperlink" Target="https://meteor-uat.aihw.gov.au/content/619877" TargetMode="External" Id="Rf6f31d1df85c49d1" /><Relationship Type="http://schemas.openxmlformats.org/officeDocument/2006/relationships/hyperlink" Target="https://meteor-uat.aihw.gov.au/content/619914" TargetMode="External" Id="R4b4fdc92dc964fe4" /><Relationship Type="http://schemas.openxmlformats.org/officeDocument/2006/relationships/hyperlink" Target="https://meteor-uat.aihw.gov.au/content/680985" TargetMode="External" Id="Rdc96111ec0d34c48" /><Relationship Type="http://schemas.openxmlformats.org/officeDocument/2006/relationships/hyperlink" Target="https://meteor-uat.aihw.gov.au/content/619920" TargetMode="External" Id="Rf0ee10f401f34d4b" /><Relationship Type="http://schemas.openxmlformats.org/officeDocument/2006/relationships/hyperlink" Target="https://meteor-uat.aihw.gov.au/content/619941" TargetMode="External" Id="R36c914dedb1a4827" /><Relationship Type="http://schemas.openxmlformats.org/officeDocument/2006/relationships/hyperlink" Target="https://meteor-uat.aihw.gov.au/content/619947" TargetMode="External" Id="Ra904f90696994a8c" /><Relationship Type="http://schemas.openxmlformats.org/officeDocument/2006/relationships/hyperlink" Target="https://meteor-uat.aihw.gov.au/content/619953" TargetMode="External" Id="Rdb38a5b18ea64fa7" /><Relationship Type="http://schemas.openxmlformats.org/officeDocument/2006/relationships/hyperlink" Target="https://meteor-uat.aihw.gov.au/content/619959" TargetMode="External" Id="Ra4108c3798424026" /><Relationship Type="http://schemas.openxmlformats.org/officeDocument/2006/relationships/hyperlink" Target="https://meteor-uat.aihw.gov.au/content/619977" TargetMode="External" Id="R17ebabb5e1ad43ee" /><Relationship Type="http://schemas.openxmlformats.org/officeDocument/2006/relationships/hyperlink" Target="https://meteor-uat.aihw.gov.au/content/619990" TargetMode="External" Id="R80a78318b506463f" /><Relationship Type="http://schemas.openxmlformats.org/officeDocument/2006/relationships/hyperlink" Target="https://meteor-uat.aihw.gov.au/content/269975" TargetMode="External" Id="R1ae331de13eb4975" /><Relationship Type="http://schemas.openxmlformats.org/officeDocument/2006/relationships/hyperlink" Target="https://meteor-uat.aihw.gov.au/content/619997" TargetMode="External" Id="Rcd1c87cf2e714abf" /><Relationship Type="http://schemas.openxmlformats.org/officeDocument/2006/relationships/hyperlink" Target="https://meteor-uat.aihw.gov.au/content/620003" TargetMode="External" Id="R38348b37e67848cd" /><Relationship Type="http://schemas.openxmlformats.org/officeDocument/2006/relationships/hyperlink" Target="https://meteor-uat.aihw.gov.au/content/620010" TargetMode="External" Id="R0f3e5296b71d41b1" /><Relationship Type="http://schemas.openxmlformats.org/officeDocument/2006/relationships/hyperlink" Target="https://meteor-uat.aihw.gov.au/content/620019" TargetMode="External" Id="R17fffa57a8924fb6" /><Relationship Type="http://schemas.openxmlformats.org/officeDocument/2006/relationships/hyperlink" Target="https://meteor-uat.aihw.gov.au/content/269977" TargetMode="External" Id="R0e99766ce56c4751" /><Relationship Type="http://schemas.openxmlformats.org/officeDocument/2006/relationships/hyperlink" Target="https://meteor-uat.aihw.gov.au/content/620026" TargetMode="External" Id="R0b1b03872a394704" /><Relationship Type="http://schemas.openxmlformats.org/officeDocument/2006/relationships/hyperlink" Target="https://meteor-uat.aihw.gov.au/content/620033" TargetMode="External" Id="R1275e819f66c4518" /><Relationship Type="http://schemas.openxmlformats.org/officeDocument/2006/relationships/hyperlink" Target="https://meteor-uat.aihw.gov.au/content/642849" TargetMode="External" Id="Rceb0586909044a2c" /><Relationship Type="http://schemas.openxmlformats.org/officeDocument/2006/relationships/hyperlink" Target="https://meteor-uat.aihw.gov.au/content/685096" TargetMode="External" Id="R39987b20b32c4d67" /><Relationship Type="http://schemas.openxmlformats.org/officeDocument/2006/relationships/hyperlink" Target="https://meteor-uat.aihw.gov.au/content/616025" TargetMode="External" Id="Rf02bde8d011044b2" /><Relationship Type="http://schemas.openxmlformats.org/officeDocument/2006/relationships/hyperlink" Target="https://meteor-uat.aihw.gov.au/content/615998" TargetMode="External" Id="R2e116f43ffcb41b5" /><Relationship Type="http://schemas.openxmlformats.org/officeDocument/2006/relationships/hyperlink" Target="https://meteor-uat.aihw.gov.au/content/620091" TargetMode="External" Id="R117e077bccd64773" /><Relationship Type="http://schemas.openxmlformats.org/officeDocument/2006/relationships/hyperlink" Target="https://meteor-uat.aihw.gov.au/content/679211" TargetMode="External" Id="R29618a639812433d" /><Relationship Type="http://schemas.openxmlformats.org/officeDocument/2006/relationships/hyperlink" Target="https://meteor-uat.aihw.gov.au/content/679208" TargetMode="External" Id="R393b71ae0cc84cd6" /><Relationship Type="http://schemas.openxmlformats.org/officeDocument/2006/relationships/hyperlink" Target="https://meteor-uat.aihw.gov.au/content/684914" TargetMode="External" Id="Rbea571a302b84fd6" /><Relationship Type="http://schemas.openxmlformats.org/officeDocument/2006/relationships/hyperlink" Target="https://meteor-uat.aihw.gov.au/content/616030" TargetMode="External" Id="Rbaac35de038f4e3b" /><Relationship Type="http://schemas.openxmlformats.org/officeDocument/2006/relationships/hyperlink" Target="https://meteor-uat.aihw.gov.au/content/548891" TargetMode="External" Id="R27c5a54b684c4789" /><Relationship Type="http://schemas.openxmlformats.org/officeDocument/2006/relationships/hyperlink" Target="https://meteor-uat.aihw.gov.au/content/542106" TargetMode="External" Id="Rd598ecdbf008460a" /><Relationship Type="http://schemas.openxmlformats.org/officeDocument/2006/relationships/hyperlink" Target="https://meteor-uat.aihw.gov.au/content/616003" TargetMode="External" Id="Rbf919fb0733e4a99" /><Relationship Type="http://schemas.openxmlformats.org/officeDocument/2006/relationships/hyperlink" Target="https://meteor-uat.aihw.gov.au/content/616033" TargetMode="External" Id="Rd42a18838e1c47fd" /><Relationship Type="http://schemas.openxmlformats.org/officeDocument/2006/relationships/hyperlink" Target="https://meteor-uat.aihw.gov.au/content/548891" TargetMode="External" Id="R7e11899e55c44642" /><Relationship Type="http://schemas.openxmlformats.org/officeDocument/2006/relationships/hyperlink" Target="https://meteor-uat.aihw.gov.au/content/616005" TargetMode="External" Id="R86f9ddc023cc42a4" /><Relationship Type="http://schemas.openxmlformats.org/officeDocument/2006/relationships/hyperlink" Target="https://meteor-uat.aihw.gov.au/content/620091" TargetMode="External" Id="Re02eb85318bd4fbf" /><Relationship Type="http://schemas.openxmlformats.org/officeDocument/2006/relationships/hyperlink" Target="https://meteor-uat.aihw.gov.au/content/643062" TargetMode="External" Id="R5fcf8fee9e9c4d24" /><Relationship Type="http://schemas.openxmlformats.org/officeDocument/2006/relationships/hyperlink" Target="https://meteor-uat.aihw.gov.au/content/548891" TargetMode="External" Id="R1959abdedc63422f" /><Relationship Type="http://schemas.openxmlformats.org/officeDocument/2006/relationships/hyperlink" Target="https://meteor-uat.aihw.gov.au/content/643082" TargetMode="External" Id="Re8447ba13b754423" /><Relationship Type="http://schemas.openxmlformats.org/officeDocument/2006/relationships/hyperlink" Target="https://meteor-uat.aihw.gov.au/content/643142" TargetMode="External" Id="R4359961eb5d84f33" /><Relationship Type="http://schemas.openxmlformats.org/officeDocument/2006/relationships/hyperlink" Target="https://meteor-uat.aihw.gov.au/content/679213" TargetMode="External" Id="R732feb0cca0d4b79" /><Relationship Type="http://schemas.openxmlformats.org/officeDocument/2006/relationships/hyperlink" Target="https://meteor-uat.aihw.gov.au/content/679293" TargetMode="External" Id="Rb5160040af61430e" /><Relationship Type="http://schemas.openxmlformats.org/officeDocument/2006/relationships/hyperlink" Target="https://meteor-uat.aihw.gov.au/content/608186" TargetMode="External" Id="R8061e956d94b4ded" /><Relationship Type="http://schemas.openxmlformats.org/officeDocument/2006/relationships/hyperlink" Target="https://meteor-uat.aihw.gov.au/content/616011" TargetMode="External" Id="R1c10ceb5a0604a89" /><Relationship Type="http://schemas.openxmlformats.org/officeDocument/2006/relationships/hyperlink" Target="https://meteor-uat.aihw.gov.au/content/269941" TargetMode="External" Id="Re8c49c1b64b94360" /><Relationship Type="http://schemas.openxmlformats.org/officeDocument/2006/relationships/hyperlink" Target="https://meteor-uat.aihw.gov.au/content/680985" TargetMode="External" Id="R0ccc068eb55e416a" /><Relationship Type="http://schemas.openxmlformats.org/officeDocument/2006/relationships/hyperlink" Target="https://meteor-uat.aihw.gov.au/content/269975" TargetMode="External" Id="R65fe3a61f0dd4ff5" /></Relationships>
</file>

<file path=word/_rels/header1.xml.rels>&#65279;<?xml version="1.0" encoding="utf-8"?><Relationships xmlns="http://schemas.openxmlformats.org/package/2006/relationships"><Relationship Type="http://schemas.openxmlformats.org/officeDocument/2006/relationships/image" Target="/media/image.png" Id="Rbf13ce40991a4c24" /></Relationships>
</file>