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853f024f7442e3"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2015–16: National Community Mental Health Care Database, 2017;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2015–16: National Community Mental Health Care Database, 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d87ee132af4751">
              <w:r>
                <w:rPr>
                  <w:rStyle w:val="Hyperlink"/>
                  <w:color w:val="244061"/>
                </w:rPr>
                <w:t xml:space="preserve">AIHW Data Quality Statements</w:t>
              </w:r>
            </w:hyperlink>
            <w:r>
              <w:rPr>
                <w:rStyle w:val="row-content"/>
                <w:color w:val="244061"/>
              </w:rPr>
              <w:t xml:space="preserve">, Superseded 11/10/2018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(NCMHCD) contains data on service contacts provided by public sector specialised community mental health services in Australia. </w:t>
            </w:r>
          </w:p>
          <w:p>
            <w:pPr>
              <w:pStyle w:val="ListParagraph"/>
              <w:numPr>
                <w:ilvl w:val="0"/>
                <w:numId w:val="2"/>
              </w:numPr>
            </w:pPr>
            <w:r>
              <w:rPr>
                <w:rStyle w:val="row-content-rich-text"/>
              </w:rPr>
              <w:t xml:space="preserve">There is some variation in the types of service contacts included in the data. For example, some states or territories may include written correspondence as service contacts while others do not.</w:t>
            </w:r>
          </w:p>
          <w:p>
            <w:pPr>
              <w:pStyle w:val="ListParagraph"/>
              <w:numPr>
                <w:ilvl w:val="0"/>
                <w:numId w:val="2"/>
              </w:numPr>
            </w:pPr>
            <w:r>
              <w:rPr>
                <w:rStyle w:val="row-content-rich-text"/>
              </w:rPr>
              <w:t xml:space="preserve">The Indigenous status data should be interpreted with caution due to the varying quality of Indigenous identification across jurisdictions reporting to the database. While all states and territories consider the quality of Indigenous status data to be acceptable, most acknowledge that further improvement is required. Indigenous status is missing for 7.0% of contacts in the 2015–16 NCMHCD. </w:t>
            </w:r>
          </w:p>
          <w:p>
            <w:pPr>
              <w:pStyle w:val="ListParagraph"/>
              <w:numPr>
                <w:ilvl w:val="0"/>
                <w:numId w:val="2"/>
              </w:numPr>
            </w:pPr>
            <w:r>
              <w:rPr>
                <w:rStyle w:val="row-content-rich-text"/>
              </w:rPr>
              <w:t xml:space="preserve">Data are reported by the jurisdiction that delivered the service and therefore may include people receiving services in one jurisdiction who reside in another. These cross-border flows are particularly relevant when interpreting ACT remoteness data. </w:t>
            </w:r>
          </w:p>
          <w:p>
            <w:pPr>
              <w:pStyle w:val="ListParagraph"/>
              <w:numPr>
                <w:ilvl w:val="0"/>
                <w:numId w:val="2"/>
              </w:numPr>
            </w:pPr>
            <w:r>
              <w:rPr>
                <w:rStyle w:val="row-content-rich-text"/>
              </w:rPr>
              <w:t xml:space="preserve">There is variation across jurisdictions in the coverage of services providing contact data and the estimated service contact data coverage.  </w:t>
            </w:r>
          </w:p>
          <w:p>
            <w:pPr>
              <w:pStyle w:val="ListParagraph"/>
              <w:numPr>
                <w:ilvl w:val="0"/>
                <w:numId w:val="2"/>
              </w:numPr>
            </w:pPr>
            <w:r>
              <w:rPr>
                <w:rStyle w:val="row-content-rich-text"/>
              </w:rPr>
              <w:t xml:space="preserve">The quality of principal diagnosis data may be affected by the variability in collection and coding practices across jurisdictions. </w:t>
            </w:r>
          </w:p>
          <w:p>
            <w:pPr>
              <w:spacing w:after="160"/>
            </w:pPr>
            <w:r>
              <w:rPr>
                <w:rStyle w:val="row-content-rich-text"/>
                <w:b/>
              </w:rPr>
              <w:t xml:space="preserve">Description</w:t>
            </w:r>
          </w:p>
          <w:p>
            <w:pPr>
              <w:spacing w:after="160"/>
            </w:pPr>
            <w:r>
              <w:rPr>
                <w:rStyle w:val="row-content-rich-text"/>
              </w:rPr>
              <w:t xml:space="preserve">The National Community Mental Health Care Database (NCMHCD) contains data on community (also sometimes termed ‘ambulatory’) mental health service contacts provided by government-funded community mental health care services as specified by the Community mental health care (CMHC) National Minimum Data Set (NMDS) (see </w:t>
            </w:r>
            <w:hyperlink w:history="true" r:id="R4592f1bd1ab24268">
              <w:r>
                <w:rPr>
                  <w:rStyle w:val="Hyperlink"/>
                </w:rPr>
                <w:t xml:space="preserve">link</w:t>
              </w:r>
            </w:hyperlink>
            <w:r>
              <w:rPr>
                <w:rStyle w:val="row-content-rich-text"/>
              </w:rPr>
              <w:t xml:space="preserve">). The NCMHCD includes data for each year from 2000–01 to 2015–16.</w:t>
            </w:r>
          </w:p>
          <w:p>
            <w:pPr>
              <w:spacing w:after="160"/>
            </w:pPr>
            <w:r>
              <w:rPr>
                <w:rStyle w:val="row-content-rich-text"/>
              </w:rPr>
              <w:t xml:space="preserve"> </w:t>
            </w:r>
          </w:p>
          <w:p>
            <w:pPr>
              <w:spacing w:after="160"/>
            </w:pPr>
            <w:r>
              <w:rPr>
                <w:rStyle w:val="row-content-rich-text"/>
              </w:rPr>
              <w:t xml:space="preserve">The NCMHCD includes information relating to each individual service contact provided by an in-scope mental health service. Examples of data elements included in the collection are demographic characteristics of patients, such as age and sex, clinical information, such as principal diagnosis and mental health legal status, and service provision information, such as contact duration and session type.</w:t>
            </w:r>
          </w:p>
          <w:p>
            <w:pPr/>
            <w:r>
              <w:rPr>
                <w:rStyle w:val="row-content-rich-text"/>
              </w:rPr>
              <w:t xml:space="preserve">The CMHC NMDS is associated with the Mental Health Establishments (MHE) NMDS, which is used to collect data about the services that provide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46d13d1747a6495f">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bc7a552fc7fd4738">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473b232d639c4024">
              <w:r>
                <w:rPr>
                  <w:rStyle w:val="Hyperlink"/>
                </w:rPr>
                <w:t xml:space="preserve">Australian Institute of Health and Welfare Act 1987</w:t>
              </w:r>
            </w:hyperlink>
            <w:r>
              <w:rPr>
                <w:rStyle w:val="row-content-rich-text"/>
              </w:rPr>
              <w:t xml:space="preserve">, in conjunction with compliance to the </w:t>
            </w:r>
            <w:hyperlink w:history="true" r:id="R1e48653bb1e14788">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05c4292f81c74a82">
              <w:r>
                <w:rPr>
                  <w:rStyle w:val="Hyperlink"/>
                </w:rPr>
                <w:t xml:space="preserve">www.aihw.gov.au</w:t>
              </w:r>
            </w:hyperlink>
            <w:r>
              <w:rPr>
                <w:rStyle w:val="row-content-rich-text"/>
              </w:rPr>
              <w:t xml:space="preserve">.</w:t>
            </w:r>
          </w:p>
          <w:p>
            <w:pPr>
              <w:spacing w:after="160"/>
            </w:pPr>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National Health Information Agreement (see </w:t>
            </w:r>
            <w:hyperlink w:history="true" r:id="Rd16fa5fd1f9c4bfe">
              <w:r>
                <w:rPr>
                  <w:rStyle w:val="Hyperlink"/>
                </w:rPr>
                <w:t xml:space="preserve">link</w:t>
              </w:r>
            </w:hyperlink>
            <w:r>
              <w:rPr>
                <w:rStyle w:val="row-content-rich-text"/>
              </w:rPr>
              <w:t xml:space="preserve">), as specified by the CMHC NMDS (see ‘Interpretability’ section below).</w:t>
            </w:r>
          </w:p>
          <w:p>
            <w:pPr/>
            <w:r>
              <w:rPr>
                <w:rStyle w:val="row-content-rich-text"/>
              </w:rPr>
              <w:t xml:space="preserve">Expenditure and resource information for community mental health services reporting to the NCMHCD are reported through the associated National Mental Health Establishments Database, as specified by the MHE NMDS (see </w:t>
            </w:r>
            <w:hyperlink w:history="true" r:id="R9c9ef97f2dff40a4">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NCMHCD were first collected in 2000–01.</w:t>
            </w:r>
          </w:p>
          <w:p>
            <w:pPr>
              <w:spacing w:after="160"/>
            </w:pPr>
            <w:r>
              <w:rPr>
                <w:rStyle w:val="row-content-rich-text"/>
              </w:rPr>
              <w:t xml:space="preserve">States and territories are required to supply data annually in accordance with the CMHC NMDS specifications. The reference period for this data set is 2015–16, that is, service contacts provided between 1 July 2015 and 30 June 2016. Data for the 2015–16 reference period were supplied to the AIHW at the end of December 2016.</w:t>
            </w:r>
          </w:p>
          <w:p>
            <w:pPr/>
            <w:r>
              <w:rPr>
                <w:rStyle w:val="row-content-rich-text"/>
              </w:rPr>
              <w:t xml:space="preserve">The AIHW publishes data from the NCMHCD in </w:t>
            </w:r>
            <w:hyperlink w:history="true" r:id="Raf06aaded1074453">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(see </w:t>
            </w:r>
            <w:hyperlink w:history="true" r:id="Rafea1b0719e04a2c">
              <w:r>
                <w:rPr>
                  <w:rStyle w:val="Hyperlink"/>
                </w:rPr>
                <w:t xml:space="preserve">link</w:t>
              </w:r>
            </w:hyperlink>
            <w:r>
              <w:rPr>
                <w:rStyle w:val="row-content-rich-text"/>
              </w:rPr>
              <w:t xml:space="preserve">). This includes pdf documents of all sections in the publication, as well as data workbooks and an interactive data portal. In addition, a companion hard copy 'In brief' summary document is produced and is available via the </w:t>
            </w:r>
            <w:hyperlink w:history="true" r:id="R6126b75fffb94ed9">
              <w:r>
                <w:rPr>
                  <w:rStyle w:val="Hyperlink"/>
                </w:rPr>
                <w:t xml:space="preserve">Mental health reports</w:t>
              </w:r>
            </w:hyperlink>
            <w:r>
              <w:rPr>
                <w:rStyle w:val="row-content-rich-text"/>
              </w:rPr>
              <w:t xml:space="preserve"> page.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CMHC NMDS is published in the AIHW’s online metadata repository—METeOR.</w:t>
            </w:r>
          </w:p>
          <w:p>
            <w:pPr>
              <w:spacing w:after="160"/>
            </w:pPr>
            <w:r>
              <w:rPr>
                <w:rStyle w:val="row-content-rich-text"/>
              </w:rPr>
              <w:t xml:space="preserve">METeOR can be accessed on the AIHW website:</w:t>
            </w:r>
          </w:p>
          <w:p>
            <w:hyperlink w:history="true" r:id="R2185b0aa4db64d66">
              <w:r>
                <w:rPr>
                  <w:rStyle w:val="Hyperlink"/>
                </w:rPr>
                <w:t xml:space="preserve">http://meteor.aihw.gov.au</w:t>
              </w:r>
            </w:hyperlink>
          </w:p>
          <w:p>
            <w:pPr/>
            <w:r>
              <w:rPr>
                <w:rStyle w:val="row-content-rich-text"/>
              </w:rPr>
              <w:t xml:space="preserve">Data published annually in Mental health services in Australia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NCMHCD is to collect information on all mental health service contacts provided by community mental health care services, as specified by the CMHC NMDS. The scope for this collection is all government-funded and operated community mental health care services in Australia.</w:t>
            </w:r>
          </w:p>
          <w:p>
            <w:pPr/>
            <w:r>
              <w:rPr>
                <w:rStyle w:val="row-content-rich-text"/>
              </w:rPr>
              <w:t xml:space="preserve">A mental health service contact, for the purposes of this collection, is defined as the provision of a clinically significant service by a specialised mental health service provider for patients/clients, other than those admitted to psychiatric hospitals or designated psychiatric units in acute care hospitals and those resident in 24-hour staffed specialised residential mental health services, where the nature of the service would normally warrant a dated entry in the clinical record of the patient/client in question. Any one patient can have one or more service contacts over the reporting period (that is, 2015–16). Service contacts are not restricted to face-to-face communication but can include telephone, video link or other forms of direct communication. Service contacts can also be either with the patient or with a third party, such as a carer or family member, or other professional or mental health workers or other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queries. The AIHW does not adjust data to account for possible data errors or missing or incorrect values.</w:t>
            </w:r>
          </w:p>
          <w:p>
            <w:pPr>
              <w:spacing w:after="160"/>
            </w:pPr>
            <w:r>
              <w:rPr>
                <w:rStyle w:val="row-content-rich-text"/>
              </w:rPr>
              <w:t xml:space="preserve">All states estimate that 94–100% of in-scope community mental health care services provided contact data to the collection. Overall service contact data coverage for most jurisdictions was estimated to be between 94–100%. Most states reported small collection gaps that are being addressed.</w:t>
            </w:r>
          </w:p>
          <w:p>
            <w:pPr>
              <w:spacing w:after="160"/>
            </w:pPr>
            <w:r>
              <w:rPr>
                <w:rStyle w:val="row-content-rich-text"/>
              </w:rPr>
              <w:t xml:space="preserve">Victoria reported that industrial action from May 2016 resulted in under reporting of patient contacts.</w:t>
            </w:r>
          </w:p>
          <w:p>
            <w:pPr>
              <w:spacing w:after="160"/>
            </w:pPr>
            <w:r>
              <w:rPr>
                <w:rStyle w:val="row-content-rich-text"/>
              </w:rPr>
              <w:t xml:space="preserve">There are no known issues with the supplied ACT data, however, ACT Health is undergoing a system-wide data review that will be finalised by 31 March 2018.</w:t>
            </w:r>
          </w:p>
          <w:p>
            <w:pPr>
              <w:spacing w:after="160"/>
            </w:pPr>
            <w:r>
              <w:rPr>
                <w:rStyle w:val="row-content-rich-text"/>
              </w:rPr>
              <w:t xml:space="preserve"> </w:t>
            </w:r>
          </w:p>
          <w:p>
            <w:pPr>
              <w:spacing w:after="160"/>
            </w:pPr>
            <w:r>
              <w:rPr>
                <w:rStyle w:val="row-content-rich-text"/>
                <w:b/>
                <w:i/>
              </w:rPr>
              <w:t xml:space="preserve">Indigenous status</w:t>
            </w:r>
          </w:p>
          <w:p>
            <w:pPr>
              <w:spacing w:after="160"/>
            </w:pPr>
            <w:r>
              <w:rPr>
                <w:rStyle w:val="row-content-rich-text"/>
              </w:rPr>
              <w:t xml:space="preserve">Data from the NCMHCD on Indigenous status should be interpreted with caution. Jurisdictional advice is that the data quality and completeness of Indigenous identification varies. The methodology for the identification of Indigenous status varies both between jurisdictions and between services within a jurisdiction. Subsequently, the identification process may result in a different status being recorded among multiple service contacts or between service providers. Indigenous status is missing for 7.0% of contacts in the 2015–16 NCMHCD.</w:t>
            </w:r>
          </w:p>
          <w:p>
            <w:pPr>
              <w:spacing w:after="160"/>
            </w:pPr>
            <w:r>
              <w:rPr>
                <w:rStyle w:val="row-content-rich-text"/>
              </w:rPr>
              <w:t xml:space="preserve">States and territories provided additional information on the quality of the Indigenous status data for 2015–16 as follows:</w:t>
            </w:r>
          </w:p>
          <w:p>
            <w:pPr>
              <w:pStyle w:val="ListParagraph"/>
              <w:numPr>
                <w:ilvl w:val="0"/>
                <w:numId w:val="3"/>
              </w:numPr>
            </w:pPr>
            <w:r>
              <w:rPr>
                <w:rStyle w:val="row-content-rich-text"/>
              </w:rPr>
              <w:t xml:space="preserve">New South Wales reported the quality of the Indigenous status data to be acceptable but that there are always opportunities to improve and that variation in Indigenous status is impacted by changes in culture, processes and systems.  </w:t>
            </w:r>
          </w:p>
          <w:p>
            <w:pPr>
              <w:pStyle w:val="ListParagraph"/>
              <w:numPr>
                <w:ilvl w:val="0"/>
                <w:numId w:val="3"/>
              </w:numPr>
            </w:pPr>
            <w:r>
              <w:rPr>
                <w:rStyle w:val="row-content-rich-text"/>
              </w:rPr>
              <w:t xml:space="preserve">Victoria reported the quality of the Indigenous status data to be acceptable but that there continue to be areas for improvement based on the National best practice guidelines for collecting Indigenous status in health data sets. </w:t>
            </w:r>
          </w:p>
          <w:p>
            <w:pPr>
              <w:pStyle w:val="ListParagraph"/>
              <w:numPr>
                <w:ilvl w:val="0"/>
                <w:numId w:val="3"/>
              </w:numPr>
            </w:pPr>
            <w:r>
              <w:rPr>
                <w:rStyle w:val="row-content-rich-text"/>
              </w:rPr>
              <w:t xml:space="preserve">Queensland reported that the quality of Indigenous status data was acceptable, with continued improvement on reporting from earlier years. The number of records with an unknown/not stated Indigenous status continued to increase in 2015–16, consistent with the Queensland 2014–15 reporting trend. Further work to improve future collections is ongoing.</w:t>
            </w:r>
          </w:p>
          <w:p>
            <w:pPr>
              <w:pStyle w:val="ListParagraph"/>
              <w:numPr>
                <w:ilvl w:val="0"/>
                <w:numId w:val="3"/>
              </w:numPr>
            </w:pPr>
            <w:r>
              <w:rPr>
                <w:rStyle w:val="row-content-rich-text"/>
              </w:rPr>
              <w:t xml:space="preserve">Western Australia reported that the quality of Indigenous status data was acceptable and plans to introduce a new data quality process in 2016–17 which will target records with missing or unknown Indigenous status. WA also acknowledged the importance of continuing work to improve initial data collection in areas including: improved cultural education and training in data capture at the point of collection; analysis and action regarding clients who change their Indigenous status between contacts.</w:t>
            </w:r>
          </w:p>
          <w:p>
            <w:pPr>
              <w:pStyle w:val="ListParagraph"/>
              <w:numPr>
                <w:ilvl w:val="0"/>
                <w:numId w:val="3"/>
              </w:numPr>
            </w:pPr>
            <w:r>
              <w:rPr>
                <w:rStyle w:val="row-content-rich-text"/>
              </w:rPr>
              <w:t xml:space="preserve">South Australia reported that the quality of Indigenous status data was acceptable, but that further investigation and follow-up was required for services with high rates of unknown/not stated Indigenous status.</w:t>
            </w:r>
          </w:p>
          <w:p>
            <w:pPr>
              <w:pStyle w:val="ListParagraph"/>
              <w:numPr>
                <w:ilvl w:val="0"/>
                <w:numId w:val="3"/>
              </w:numPr>
            </w:pPr>
            <w:r>
              <w:rPr>
                <w:rStyle w:val="row-content-rich-text"/>
              </w:rPr>
              <w:t xml:space="preserve">Tasmania reported the quality of Indigenous status data was of a high quality and more complete than for the previous year, with the inclusion of unregistered contacts. The number of contacts for registered clients was low, similar to the 2014–15 collection period. Tasmania considered the data captured by one service (accounting for around 5% of the state-wide contacts) as generally being of a lower quality than other teams, due to the nature of how they record data via phone.</w:t>
            </w:r>
          </w:p>
          <w:p>
            <w:pPr>
              <w:pStyle w:val="ListParagraph"/>
              <w:numPr>
                <w:ilvl w:val="0"/>
                <w:numId w:val="3"/>
              </w:numPr>
            </w:pPr>
            <w:r>
              <w:rPr>
                <w:rStyle w:val="row-content-rich-text"/>
              </w:rPr>
              <w:t xml:space="preserve">The Australian Capital Territory and the Northern Territory considered the quality of the Indigenous status data to be satisfactory.</w:t>
            </w:r>
          </w:p>
          <w:p>
            <w:pPr>
              <w:spacing w:after="160"/>
            </w:pPr>
            <w:r>
              <w:rPr>
                <w:rStyle w:val="row-content-rich-text"/>
                <w:b/>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may be relevant if significant numbers of one jurisdiction’s residents are treated in another jurisdiction. Therefore, comparisons of service contact rates for jurisdictions require consideration of cross-border flows, particularly for the Australian Capital Territory.</w:t>
            </w:r>
          </w:p>
          <w:p>
            <w:pPr>
              <w:spacing w:after="160"/>
            </w:pPr>
            <w:r>
              <w:rPr>
                <w:rStyle w:val="row-content-rich-text"/>
                <w:b/>
                <w:i/>
              </w:rPr>
              <w:t xml:space="preserve">Mental health legal status</w:t>
            </w:r>
          </w:p>
          <w:p>
            <w:pPr>
              <w:spacing w:after="160"/>
            </w:pPr>
            <w:r>
              <w:rPr>
                <w:rStyle w:val="row-content-rich-text"/>
              </w:rPr>
              <w:t xml:space="preserve">Data on involuntary treatment of consumers is collected in the NCMHCD, however the quality of the data is unknown and should be treated with caution. Reporting of service events with a mental health legal status of involuntary will differ from reporting of treatment orders in the community by state and territory Chief Psychiatrists due to differences in statistical unit, collection scope and jurisdictional data systems.</w:t>
            </w:r>
          </w:p>
          <w:p>
            <w:pPr/>
            <w:r>
              <w:rPr>
                <w:rStyle w:val="row-content-rich-text"/>
              </w:rPr>
              <w:t xml:space="preserve">Legislation governing the use of treatment orders differs between jurisdictions and comparisons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CMHC NMDS may change from year to year. There were no changes to the technical definitions between the 2014–15 and 2015–16 specifications.</w:t>
            </w:r>
          </w:p>
          <w:p>
            <w:pPr>
              <w:spacing w:after="160"/>
            </w:pPr>
            <w:r>
              <w:rPr>
                <w:rStyle w:val="row-content-rich-text"/>
              </w:rPr>
              <w:t xml:space="preserve">There are variations across jurisdictions in the scope and definition of a service contact. For example, most jurisdictions may include telephone and/or written correspondence as service contacts while the Northern Territory does not. Data on contacts with unregistered clients are not included by all jurisdictions. Unregistered client contacts refer to those mental health service contacts for which a person identifier was not recorded. Queensland and the Northern Territory do not have any unregistered clients.</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NCMHCD may be affected by the variability in collection and coding practices across jurisdictions. In particular, there are:</w:t>
            </w:r>
          </w:p>
          <w:p>
            <w:pPr>
              <w:spacing w:after="160"/>
            </w:pPr>
            <w:r>
              <w:rPr>
                <w:rStyle w:val="row-content-rich-text"/>
              </w:rPr>
              <w:t xml:space="preserve">1. Differences among states and territories in the classification used as follows:</w:t>
            </w:r>
          </w:p>
          <w:p>
            <w:pPr>
              <w:pStyle w:val="ListParagraph"/>
              <w:numPr>
                <w:ilvl w:val="0"/>
                <w:numId w:val="4"/>
              </w:numPr>
            </w:pPr>
            <w:r>
              <w:rPr>
                <w:rStyle w:val="row-content-rich-text"/>
              </w:rPr>
              <w:t xml:space="preserve">Victoria and the Northern Territory report that data are submitted in accordance with the ICD-10-AM 10th edition. New South Wales, Queensland, Western Australia, and the Australian Capital Territory report that data are submitted in accordance with the ICD-10-AM 9th edition. Tasmania report that data are submitted in accordance with the ICD-10-AM 8th edition.</w:t>
            </w:r>
          </w:p>
          <w:p>
            <w:pPr>
              <w:pStyle w:val="ListParagraph"/>
              <w:numPr>
                <w:ilvl w:val="0"/>
                <w:numId w:val="4"/>
              </w:numPr>
            </w:pPr>
            <w:r>
              <w:rPr>
                <w:rStyle w:val="row-content-rich-text"/>
              </w:rPr>
              <w:t xml:space="preserve">South Australia used a combination of ICD-10-AM 9th Edition, 4th Edition and ICD-10-AM Mental Health Manual 1st Edition.</w:t>
            </w:r>
          </w:p>
          <w:p>
            <w:pPr>
              <w:pStyle w:val="ListParagraph"/>
              <w:numPr>
                <w:ilvl w:val="0"/>
                <w:numId w:val="4"/>
              </w:numPr>
            </w:pPr>
            <w:r>
              <w:rPr>
                <w:rStyle w:val="row-content-rich-text"/>
              </w:rPr>
              <w:t xml:space="preserve">Western Australia noted that some patients may have a principal diagnosis from an earlier version when they have not had a diagnosis review since the implementation of ICD-10-AM 9th edition.</w:t>
            </w:r>
          </w:p>
          <w:p>
            <w:pPr>
              <w:spacing w:after="160"/>
            </w:pPr>
            <w:r>
              <w:rPr>
                <w:rStyle w:val="row-content-rich-text"/>
              </w:rPr>
              <w:t xml:space="preserve">2. Differences according to the size of the facility (for example, large versus small) in the ability to accurately code principal diagnosis.</w:t>
            </w:r>
          </w:p>
          <w:p>
            <w:pPr>
              <w:spacing w:after="160"/>
            </w:pPr>
            <w:r>
              <w:rPr>
                <w:rStyle w:val="row-content-rich-text"/>
              </w:rPr>
              <w:t xml:space="preserve"> </w:t>
            </w:r>
          </w:p>
          <w:p>
            <w:pPr>
              <w:spacing w:after="160"/>
            </w:pPr>
            <w:r>
              <w:rPr>
                <w:rStyle w:val="row-content-rich-text"/>
              </w:rPr>
              <w:t xml:space="preserve">3. Differences in the availability of appropriately qualified clinicians to assign principal diagnoses (diagnoses are generally to be made by psychiatrists, whereas service contacts are mainly provided by non-psychiatrists).</w:t>
            </w:r>
          </w:p>
          <w:p>
            <w:pPr>
              <w:spacing w:after="160"/>
            </w:pPr>
            <w:r>
              <w:rPr>
                <w:rStyle w:val="row-content-rich-text"/>
              </w:rPr>
              <w:t xml:space="preserve"> </w:t>
            </w:r>
          </w:p>
          <w:p>
            <w:pPr>
              <w:spacing w:after="160"/>
            </w:pPr>
            <w:r>
              <w:rPr>
                <w:rStyle w:val="row-content-rich-text"/>
              </w:rPr>
              <w:t xml:space="preserve">4. Differences according to whether the principal diagnosis is applied to an individual service contact or to a period of care.</w:t>
            </w:r>
          </w:p>
          <w:p>
            <w:pPr>
              <w:spacing w:after="160"/>
            </w:pPr>
            <w:r>
              <w:rPr>
                <w:rStyle w:val="row-content-rich-text"/>
              </w:rPr>
              <w:t xml:space="preserve">New South Wales and Western Australia report the current diagnosis for each service contact rather than a principal diagnosis for a longer period of care. The remaining jurisdictions report principal diagnosis as applying to a longer period of care.</w:t>
            </w:r>
          </w:p>
          <w:p>
            <w:pPr>
              <w:spacing w:after="160"/>
            </w:pPr>
            <w:r>
              <w:rPr>
                <w:rStyle w:val="row-content-rich-text"/>
                <w:b/>
                <w:i/>
              </w:rPr>
              <w:t xml:space="preserve">Comparability over time</w:t>
            </w:r>
          </w:p>
          <w:p>
            <w:pPr>
              <w:spacing w:after="160"/>
            </w:pPr>
            <w:r>
              <w:rPr>
                <w:rStyle w:val="row-content-rich-text"/>
              </w:rPr>
              <w:t xml:space="preserve">Comparability of NCMHCD data over time can be variable. Changes to reporting practices, upgrades to information systems and revisions to data mean comparison between years should be made with caution.</w:t>
            </w:r>
          </w:p>
          <w:p>
            <w:pPr>
              <w:spacing w:after="160"/>
            </w:pPr>
            <w:r>
              <w:rPr>
                <w:rStyle w:val="row-content-rich-text"/>
              </w:rPr>
              <w:t xml:space="preserve">For 2015–16, New South Wales implemented a state-wide information system that improved the consistency of data and positively impacted the capture of data from in-scope services. However, there are some variations in the way data is collected between the different regions, with collection processes at the region’s discretion.</w:t>
            </w:r>
          </w:p>
          <w:p>
            <w:pPr>
              <w:spacing w:after="160"/>
            </w:pPr>
            <w:r>
              <w:rPr>
                <w:rStyle w:val="row-content-rich-text"/>
              </w:rPr>
              <w:t xml:space="preserve">For 2015–16, Victoria reported that industrial action from May 2016 resulted in under reporting of contacts.</w:t>
            </w:r>
          </w:p>
          <w:p>
            <w:pPr/>
            <w:r>
              <w:rPr>
                <w:rStyle w:val="row-content-rich-text"/>
              </w:rPr>
              <w:t xml:space="preserve">The Northern Territory noted improvement is required in the collection of service contact duration but acknowledged this was challenging given the limitations of the current information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82a08996a5b4e8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1a7099306c490b">
              <w:r>
                <w:rPr>
                  <w:rStyle w:val="Hyperlink"/>
                </w:rPr>
                <w:t xml:space="preserve">Community mental health care NMDS 2014–15: National Community Mental Health Care Database, 2015; Quality Statement</w:t>
              </w:r>
            </w:hyperlink>
          </w:p>
          <w:p>
            <w:pPr>
              <w:pStyle w:val="registration-status"/>
              <w:spacing w:before="0" w:after="0"/>
            </w:pPr>
            <w:hyperlink w:history="true" r:id="R8ddda4cc29754bae">
              <w:r>
                <w:rPr>
                  <w:rStyle w:val="Hyperlink"/>
                  <w:color w:val="244061"/>
                </w:rPr>
                <w:t xml:space="preserve">AIHW Data Quality Statements</w:t>
              </w:r>
            </w:hyperlink>
            <w:r>
              <w:rPr>
                <w:rStyle w:val="row-content"/>
                <w:color w:val="244061"/>
              </w:rPr>
              <w:t xml:space="preserve">, Superseded 13/10/2017</w:t>
            </w:r>
          </w:p>
          <w:p>
            <w:r>
              <w:br/>
            </w:r>
            <w:r>
              <w:rPr>
                <w:rStyle w:val="row-content"/>
              </w:rPr>
              <w:t xml:space="preserve">Has been superseded by </w:t>
            </w:r>
            <w:hyperlink w:history="true" r:id="R4610ef2365ef47b9">
              <w:r>
                <w:rPr>
                  <w:rStyle w:val="Hyperlink"/>
                </w:rPr>
                <w:t xml:space="preserve">Community mental health care NMDS 2016–17: National Community Mental Health Care Database, 2018; Quality Statement</w:t>
              </w:r>
            </w:hyperlink>
          </w:p>
          <w:p>
            <w:pPr>
              <w:pStyle w:val="registration-status"/>
              <w:spacing w:before="0" w:after="0"/>
            </w:pPr>
            <w:hyperlink w:history="true" r:id="Redd16c1eca5542c5">
              <w:r>
                <w:rPr>
                  <w:rStyle w:val="Hyperlink"/>
                  <w:color w:val="244061"/>
                </w:rPr>
                <w:t xml:space="preserve">AIHW Data Quality Statements</w:t>
              </w:r>
            </w:hyperlink>
            <w:r>
              <w:rPr>
                <w:rStyle w:val="row-content"/>
                <w:color w:val="244061"/>
              </w:rPr>
              <w:t xml:space="preserve">, Standard 11/10/2018</w:t>
            </w:r>
          </w:p>
          <w:p>
            <w:r>
              <w:br/>
            </w:r>
            <w:r>
              <w:rPr>
                <w:rStyle w:val="row-content"/>
              </w:rPr>
              <w:t xml:space="preserve">See also </w:t>
            </w:r>
            <w:hyperlink w:history="true" r:id="R5e1643f4d24e49be">
              <w:r>
                <w:rPr>
                  <w:rStyle w:val="Hyperlink"/>
                </w:rPr>
                <w:t xml:space="preserve">Community mental health care NMDS 2015-16</w:t>
              </w:r>
            </w:hyperlink>
          </w:p>
          <w:p>
            <w:pPr>
              <w:pStyle w:val="registration-status"/>
              <w:spacing w:before="0" w:after="0"/>
            </w:pPr>
            <w:hyperlink w:history="true" r:id="Rb7b67f87edbc4e4b">
              <w:r>
                <w:rPr>
                  <w:rStyle w:val="Hyperlink"/>
                  <w:color w:val="244061"/>
                </w:rPr>
                <w:t xml:space="preserve">Health!</w:t>
              </w:r>
            </w:hyperlink>
            <w:r>
              <w:rPr>
                <w:rStyle w:val="row-content"/>
                <w:color w:val="244061"/>
              </w:rPr>
              <w:t xml:space="preserve">, Superseded 04/09/2015</w:t>
            </w:r>
          </w:p>
          <w:p>
            <w:r>
              <w:br/>
            </w:r>
          </w:p>
        </w:tc>
      </w:tr>
    </w:tbl>
    <w:p>
      <w:r>
        <w:br/>
      </w:r>
    </w:p>
    <w:sectPr>
      <w:footerReference xmlns:r="http://schemas.openxmlformats.org/officeDocument/2006/relationships" w:type="default" r:id="Rf3b22ffffae044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678386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86f8e0a6ec49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b22ffffae044c3" /><Relationship Type="http://schemas.openxmlformats.org/officeDocument/2006/relationships/header" Target="/word/header1.xml" Id="R890d181a0fd34015" /><Relationship Type="http://schemas.openxmlformats.org/officeDocument/2006/relationships/settings" Target="/word/settings.xml" Id="Rf0776eed66924402" /><Relationship Type="http://schemas.openxmlformats.org/officeDocument/2006/relationships/styles" Target="/word/styles.xml" Id="Rbf9d4a2b341d4d8f" /><Relationship Type="http://schemas.openxmlformats.org/officeDocument/2006/relationships/numbering" Target="/word/numbering.xml" Id="Rf372fd474f84432d" /><Relationship Type="http://schemas.openxmlformats.org/officeDocument/2006/relationships/hyperlink" Target="https://meteor-uat.aihw.gov.au/RegistrationAuthority/8" TargetMode="External" Id="Rf7d87ee132af4751" /><Relationship Type="http://schemas.openxmlformats.org/officeDocument/2006/relationships/hyperlink" Target="https://meteor-uat.aihw.gov.au/content/565694" TargetMode="External" Id="R4592f1bd1ab24268" /><Relationship Type="http://schemas.openxmlformats.org/officeDocument/2006/relationships/hyperlink" Target="http://www.comlaw.gov.au/Details/C2004A03450" TargetMode="External" Id="R46d13d1747a6495f" /><Relationship Type="http://schemas.openxmlformats.org/officeDocument/2006/relationships/hyperlink" Target="https://www.aihw.gov.au/about-us/our-governance" TargetMode="External" Id="Rbc7a552fc7fd4738" /><Relationship Type="http://schemas.openxmlformats.org/officeDocument/2006/relationships/hyperlink" Target="http://www.comlaw.gov.au/Details/C2004A03450" TargetMode="External" Id="R473b232d639c4024" /><Relationship Type="http://schemas.openxmlformats.org/officeDocument/2006/relationships/hyperlink" Target="https://www.legislation.gov.au/series/C2004A03712" TargetMode="External" Id="R1e48653bb1e14788" /><Relationship Type="http://schemas.openxmlformats.org/officeDocument/2006/relationships/hyperlink" Target="http://www.aihw.gov.au/" TargetMode="External" Id="R05c4292f81c74a82" /><Relationship Type="http://schemas.openxmlformats.org/officeDocument/2006/relationships/hyperlink" Target="https://meteor-uat.aihw.gov.au/content/182135" TargetMode="External" Id="Rd16fa5fd1f9c4bfe" /><Relationship Type="http://schemas.openxmlformats.org/officeDocument/2006/relationships/hyperlink" Target="https://meteor-uat.aihw.gov.au/content/565661" TargetMode="External" Id="R9c9ef97f2dff40a4" /><Relationship Type="http://schemas.openxmlformats.org/officeDocument/2006/relationships/hyperlink" Target="https://www.aihw.gov.au/reports/mental-health-services/mental-health-services-in-australia/report-contents/summary" TargetMode="External" Id="Raf06aaded1074453" /><Relationship Type="http://schemas.openxmlformats.org/officeDocument/2006/relationships/hyperlink" Target="https://www.aihw.gov.au/reports/mental-health-services/mental-health-services-in-australia/report-contents/summary" TargetMode="External" Id="Rafea1b0719e04a2c" /><Relationship Type="http://schemas.openxmlformats.org/officeDocument/2006/relationships/hyperlink" Target="https://www.aihw.gov.au/reports-statistics/health-welfare-services/mental-health-services/reports" TargetMode="External" Id="R6126b75fffb94ed9" /><Relationship Type="http://schemas.openxmlformats.org/officeDocument/2006/relationships/hyperlink" Target="https://meteor-uat.aihw.gov.au/content/181162" TargetMode="External" Id="R2185b0aa4db64d66" /><Relationship Type="http://schemas.openxmlformats.org/officeDocument/2006/relationships/hyperlink" Target="https://meteor-uat.aihw.gov.au/content/246013" TargetMode="External" Id="R182a08996a5b4e82" /><Relationship Type="http://schemas.openxmlformats.org/officeDocument/2006/relationships/hyperlink" Target="https://meteor-uat.aihw.gov.au/content/646644" TargetMode="External" Id="R741a7099306c490b" /><Relationship Type="http://schemas.openxmlformats.org/officeDocument/2006/relationships/hyperlink" Target="https://meteor-uat.aihw.gov.au/RegistrationAuthority/8" TargetMode="External" Id="R8ddda4cc29754bae" /><Relationship Type="http://schemas.openxmlformats.org/officeDocument/2006/relationships/hyperlink" Target="https://meteor-uat.aihw.gov.au/content/696404" TargetMode="External" Id="R4610ef2365ef47b9" /><Relationship Type="http://schemas.openxmlformats.org/officeDocument/2006/relationships/hyperlink" Target="https://meteor-uat.aihw.gov.au/RegistrationAuthority/8" TargetMode="External" Id="Redd16c1eca5542c5" /><Relationship Type="http://schemas.openxmlformats.org/officeDocument/2006/relationships/hyperlink" Target="https://meteor-uat.aihw.gov.au/content/565694" TargetMode="External" Id="R5e1643f4d24e49be" /><Relationship Type="http://schemas.openxmlformats.org/officeDocument/2006/relationships/hyperlink" Target="https://meteor-uat.aihw.gov.au/RegistrationAuthority/14" TargetMode="External" Id="Rb7b67f87edbc4e4b" /></Relationships>
</file>

<file path=word/_rels/header1.xml.rels>&#65279;<?xml version="1.0" encoding="utf-8"?><Relationships xmlns="http://schemas.openxmlformats.org/package/2006/relationships"><Relationship Type="http://schemas.openxmlformats.org/officeDocument/2006/relationships/image" Target="/media/image.png" Id="R3186f8e0a6ec4995" /></Relationships>
</file>