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e0be27cfd4cf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02565647d594d8f">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6c67275bd66431a">
                    <w:r>
                      <w:rPr>
                        <w:rStyle w:val="Hyperlink"/>
                      </w:rPr>
                      <w:t xml:space="preserve">Full-time equivalent paid staff</w:t>
                    </w:r>
                  </w:hyperlink>
                </w:p>
              </w:tc>
              <w:tc>
                <w:tcPr>
                  <w:vAlign w:val="top"/>
                </w:tcPr>
                <w:p>
                  <w:r>
                    <w:t xml:space="preserve">270213</w:t>
                  </w:r>
                </w:p>
              </w:tc>
              <w:tc>
                <w:tcPr>
                  <w:vAlign w:val="top"/>
                </w:tcPr>
                <w:p>
                  <w:r>
                    <w:t xml:space="preserve">Number
[5]</w:t>
                  </w:r>
                </w:p>
              </w:tc>
              <w:tc>
                <w:tcPr>
                  <w:vAlign w:val="top"/>
                </w:tcPr>
                <w:p>
                  <w:r>
                    <w:t xml:space="preserve">N[NNN{.N}]</w:t>
                  </w:r>
                  <w:r>
                    <w:br/>
                  </w:r>
                  <w:r>
                    <w:t xml:space="preserve">Total number of full-time equivalent units.</w:t>
                  </w:r>
                </w:p>
              </w:tc>
            </w:tr>
            <w:tr>
              <w:trPr/>
              <w:tc>
                <w:tcPr>
                  <w:tcMar>
                    <w:right w:w="29" w:type="dxa"/>
                  </w:tcMar>
                  <w:vAlign w:val="top"/>
                </w:tcPr>
                <w:p>
                  <w:pPr>
                    <w:keepNext/>
                    <w:jc w:val="center"/>
                  </w:pPr>
                  <w:r>
                    <w:t xml:space="preserve">-</w:t>
                  </w:r>
                </w:p>
              </w:tc>
              <w:tc>
                <w:tcPr>
                  <w:tcMar/>
                  <w:vAlign w:val="top"/>
                </w:tcPr>
                <w:p>
                  <w:hyperlink w:history="true" r:id="Rc48e2442da0245c5">
                    <w:r>
                      <w:rPr>
                        <w:rStyle w:val="Hyperlink"/>
                      </w:rPr>
                      <w:t xml:space="preserve">Standalone substance use services paid full time equivalent staffing categories</w:t>
                    </w:r>
                  </w:hyperlink>
                </w:p>
              </w:tc>
              <w:tc>
                <w:tcPr>
                  <w:vAlign w:val="top"/>
                </w:tcPr>
                <w:p>
                  <w:r>
                    <w:t xml:space="preserve">568343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CEOs/administrators/managers/supervisors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Aboriginal and Torres Strait Islander health workers - Female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Doctors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Nurses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Substance misuse/drug and alcohol workers/AOD counsellors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Social and emotional wellbeing staff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Medical specialists/other health professionals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Sexual health workers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Traditional healers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Drivers/field officers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Administrative support workers (e.g. secretaries/receptionists)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Accountants/bookkeepers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Information systems/data staff</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Trainers/educators</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Cleaners/cooks/gardeners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Night watchmen/security guards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staff (please specify)</w:t>
                        </w:r>
                      </w:p>
                    </w:tc>
                  </w:tr>
                </w:tbl>
                <w:p/>
              </w:tc>
            </w:tr>
            <w:tr>
              <w:trPr/>
              <w:tc>
                <w:tcPr>
                  <w:tcMar>
                    <w:right w:w="29" w:type="dxa"/>
                  </w:tcMar>
                  <w:vAlign w:val="top"/>
                </w:tcPr>
                <w:p>
                  <w:pPr>
                    <w:keepNext/>
                    <w:jc w:val="center"/>
                  </w:pPr>
                  <w:r>
                    <w:t xml:space="preserve">-</w:t>
                  </w:r>
                </w:p>
              </w:tc>
              <w:tc>
                <w:tcPr>
                  <w:tcMar/>
                  <w:vAlign w:val="top"/>
                </w:tcPr>
                <w:p>
                  <w:hyperlink w:history="true" r:id="R0e71ed02849649e0">
                    <w:r>
                      <w:rPr>
                        <w:rStyle w:val="Hyperlink"/>
                      </w:rPr>
                      <w:t xml:space="preserve">Staffing categories text</w:t>
                    </w:r>
                  </w:hyperlink>
                </w:p>
              </w:tc>
              <w:tc>
                <w:tcPr>
                  <w:vAlign w:val="top"/>
                </w:tcPr>
                <w:p>
                  <w:r>
                    <w:t xml:space="preserve">567307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3f216a637363456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39e77cfd7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16a6373634566" /><Relationship Type="http://schemas.openxmlformats.org/officeDocument/2006/relationships/header" Target="/word/header1.xml" Id="Rcfed583b52124dcb" /><Relationship Type="http://schemas.openxmlformats.org/officeDocument/2006/relationships/settings" Target="/word/settings.xml" Id="Rad6bec61906c4a0a" /><Relationship Type="http://schemas.openxmlformats.org/officeDocument/2006/relationships/styles" Target="/word/styles.xml" Id="R48131da2d634479c" /><Relationship Type="http://schemas.openxmlformats.org/officeDocument/2006/relationships/hyperlink" Target="https://meteor-uat.aihw.gov.au/content/291036" TargetMode="External" Id="R402565647d594d8f" /><Relationship Type="http://schemas.openxmlformats.org/officeDocument/2006/relationships/hyperlink" Target="https://meteor-uat.aihw.gov.au/content/270213" TargetMode="External" Id="R96c67275bd66431a" /><Relationship Type="http://schemas.openxmlformats.org/officeDocument/2006/relationships/hyperlink" Target="https://meteor-uat.aihw.gov.au/content/568343" TargetMode="External" Id="Rc48e2442da0245c5" /><Relationship Type="http://schemas.openxmlformats.org/officeDocument/2006/relationships/hyperlink" Target="https://meteor-uat.aihw.gov.au/content/567307" TargetMode="External" Id="R0e71ed02849649e0" /></Relationships>
</file>

<file path=word/_rels/header1.xml.rels>&#65279;<?xml version="1.0" encoding="utf-8"?><Relationships xmlns="http://schemas.openxmlformats.org/package/2006/relationships"><Relationship Type="http://schemas.openxmlformats.org/officeDocument/2006/relationships/image" Target="/media/image.png" Id="R4f839e77cfd74856" /></Relationships>
</file>