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6482afb30b346bb" /></Relationships>
</file>

<file path=word/document.xml><?xml version="1.0" encoding="utf-8"?>
<w:document xmlns:r="http://schemas.openxmlformats.org/officeDocument/2006/relationships" xmlns:w="http://schemas.openxmlformats.org/wordprocessingml/2006/main">
  <w:body>
    <w:p>
      <w:pPr>
        <w:pStyle w:val="Title"/>
      </w:pPr>
      <w:r>
        <w:t>Aboriginal and Torres Strait Islander standalone substance use service residential treatment/rehabilitation client numbers cluster</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Aboriginal and Torres Strait Islander standalone substance use service residential treatment/rehabilitation client numbers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677083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8b23f9f0e19460d">
              <w:r>
                <w:rPr>
                  <w:rStyle w:val="Hyperlink"/>
                  <w:color w:val="244061"/>
                </w:rPr>
                <w:t xml:space="preserve">Indigenous</w:t>
              </w:r>
            </w:hyperlink>
            <w:r>
              <w:rPr>
                <w:rStyle w:val="row-content"/>
                <w:color w:val="244061"/>
              </w:rPr>
              <w:t xml:space="preserve">, Standard 07/12/2017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Aboriginal and Torres Strait Islander standalone drug and alcohol services offer temporary, live-in accommodation for clients requiring substance use treatment and rehabilitation.</w:t>
            </w:r>
          </w:p>
          <w:p>
            <w:pPr>
              <w:spacing w:after="160"/>
            </w:pPr>
            <w:r>
              <w:rPr>
                <w:rStyle w:val="row-content-rich-text"/>
              </w:rPr>
              <w:t xml:space="preserve">The Aboriginal and Torres Strait Islander standalone substance use service residential treatment/rehabilitation client numbers cluster describes the number of clients that stayed in residential care and received formal treatment and/or rehabilitation during the reporting period.</w:t>
            </w:r>
          </w:p>
          <w:p>
            <w:pPr>
              <w:spacing w:after="160"/>
            </w:pPr>
            <w:r>
              <w:rPr>
                <w:rStyle w:val="row-content-rich-text"/>
              </w:rPr>
              <w:t xml:space="preserve">The four data elements are used together to provide a count of clients by their Indigenous status, sex and age ranges.</w:t>
            </w:r>
          </w:p>
          <w:p>
            <w:pPr>
              <w:spacing w:after="160"/>
            </w:pPr>
            <w:r>
              <w:rPr>
                <w:rStyle w:val="row-content-rich-text"/>
                <w:b/>
              </w:rPr>
              <w:t xml:space="preserve">Clients in residential treatment/rehabilitation</w:t>
            </w:r>
          </w:p>
          <w:tbl>
            <w:tblPr>
              <w:tblStyle w:val="TableGrid"/>
              <w:tblW w:w="5000" w:type="pct"/>
              <w:tblLayout w:type="autofit"/>
            </w:tblPr>
            <w:tblGrid>
              <w:gridCol/>
              <w:gridCol/>
              <w:gridCol/>
              <w:gridCol/>
            </w:tblGrid>
            <w:tr>
              <w:trPr/>
              <w:tc>
                <w:tcPr>
                  <w:tcW w:w="2500" w:type="pct"/>
                  <w:vAlign w:val="top"/>
                </w:tcPr>
                <w:p>
                  <w:pPr/>
                  <w:r>
                    <w:rPr>
                      <w:rStyle w:val="row-content-rich-text"/>
                    </w:rPr>
                    <w:t xml:space="preserve"> </w:t>
                  </w:r>
                  <w:r>
                    <w:rPr>
                      <w:rStyle w:val="row-content-rich-text"/>
                    </w:rPr>
                    <w:t xml:space="preserve"> </w:t>
                  </w:r>
                </w:p>
              </w:tc>
              <w:tc>
                <w:tcPr>
                  <w:tcW w:w="800" w:type="pct"/>
                  <w:vAlign w:val="top"/>
                </w:tcPr>
                <w:p>
                  <w:r>
                    <w:rPr>
                      <w:b/>
                    </w:rPr>
                    <w:t xml:space="preserve">Male</w:t>
                  </w:r>
                </w:p>
              </w:tc>
              <w:tc>
                <w:tcPr>
                  <w:tcW w:w="800" w:type="pct"/>
                  <w:vAlign w:val="top"/>
                </w:tcPr>
                <w:p>
                  <w:r>
                    <w:rPr>
                      <w:b/>
                    </w:rPr>
                    <w:t xml:space="preserve">Female</w:t>
                  </w:r>
                </w:p>
              </w:tc>
              <w:tc>
                <w:tcPr>
                  <w:tcW w:w="800" w:type="pct"/>
                  <w:vAlign w:val="top"/>
                </w:tcPr>
                <w:p>
                  <w:r>
                    <w:rPr>
                      <w:b/>
                    </w:rPr>
                    <w:t xml:space="preserve">Total</w:t>
                  </w:r>
                </w:p>
              </w:tc>
            </w:tr>
            <w:tr>
              <w:trPr/>
              <w:tc>
                <w:tcPr>
                  <w:tcW w:w="2500" w:type="pct"/>
                  <w:vAlign w:val="top"/>
                </w:tcPr>
                <w:p>
                  <w:r>
                    <w:t xml:space="preserve">Indigenous 0-18 years</w:t>
                  </w:r>
                </w:p>
              </w:tc>
              <w:tc>
                <w:tcPr>
                  <w:tcW w:w="800" w:type="pct"/>
                  <w:vAlign w:val="top"/>
                </w:tcPr>
                <w:p>
                  <w:r>
                    <w:t xml:space="preserve">N[NNN]</w:t>
                  </w:r>
                </w:p>
              </w:tc>
              <w:tc>
                <w:tcPr>
                  <w:tcW w:w="800" w:type="pct"/>
                  <w:vAlign w:val="top"/>
                </w:tcPr>
                <w:p>
                  <w:r>
                    <w:t xml:space="preserve">N[NNN]</w:t>
                  </w:r>
                </w:p>
              </w:tc>
              <w:tc>
                <w:tcPr>
                  <w:tcW w:w="800" w:type="pct"/>
                  <w:vAlign w:val="top"/>
                </w:tcPr>
                <w:p>
                  <w:r>
                    <w:t xml:space="preserve">N[NNN]</w:t>
                  </w:r>
                </w:p>
              </w:tc>
            </w:tr>
            <w:tr>
              <w:trPr/>
              <w:tc>
                <w:tcPr>
                  <w:tcW w:w="2500" w:type="pct"/>
                  <w:vAlign w:val="top"/>
                </w:tcPr>
                <w:p>
                  <w:r>
                    <w:t xml:space="preserve">Indigenous 19-35 years</w:t>
                  </w:r>
                </w:p>
              </w:tc>
              <w:tc>
                <w:tcPr>
                  <w:tcW w:w="800" w:type="pct"/>
                  <w:vAlign w:val="top"/>
                </w:tcPr>
                <w:p>
                  <w:r>
                    <w:t xml:space="preserve">N[NNN]</w:t>
                  </w:r>
                </w:p>
              </w:tc>
              <w:tc>
                <w:tcPr>
                  <w:tcW w:w="800" w:type="pct"/>
                  <w:vAlign w:val="top"/>
                </w:tcPr>
                <w:p>
                  <w:r>
                    <w:t xml:space="preserve">N[NNN]</w:t>
                  </w:r>
                </w:p>
              </w:tc>
              <w:tc>
                <w:tcPr>
                  <w:tcW w:w="800" w:type="pct"/>
                  <w:vAlign w:val="top"/>
                </w:tcPr>
                <w:p>
                  <w:r>
                    <w:t xml:space="preserve">N[NNN]</w:t>
                  </w:r>
                </w:p>
              </w:tc>
            </w:tr>
            <w:tr>
              <w:trPr/>
              <w:tc>
                <w:tcPr>
                  <w:tcW w:w="2500" w:type="pct"/>
                  <w:vAlign w:val="top"/>
                </w:tcPr>
                <w:p>
                  <w:r>
                    <w:t xml:space="preserve">Indigenous 36 years and over</w:t>
                  </w:r>
                </w:p>
              </w:tc>
              <w:tc>
                <w:tcPr>
                  <w:tcW w:w="800" w:type="pct"/>
                  <w:vAlign w:val="top"/>
                </w:tcPr>
                <w:p>
                  <w:r>
                    <w:t xml:space="preserve">N[NNN]</w:t>
                  </w:r>
                </w:p>
              </w:tc>
              <w:tc>
                <w:tcPr>
                  <w:tcW w:w="800" w:type="pct"/>
                  <w:vAlign w:val="top"/>
                </w:tcPr>
                <w:p>
                  <w:r>
                    <w:t xml:space="preserve">N[NNN]</w:t>
                  </w:r>
                </w:p>
              </w:tc>
              <w:tc>
                <w:tcPr>
                  <w:tcW w:w="800" w:type="pct"/>
                  <w:vAlign w:val="top"/>
                </w:tcPr>
                <w:p>
                  <w:r>
                    <w:t xml:space="preserve">N[NNN]</w:t>
                  </w:r>
                </w:p>
              </w:tc>
            </w:tr>
            <w:tr>
              <w:trPr/>
              <w:tc>
                <w:tcPr>
                  <w:tcW w:w="2500" w:type="pct"/>
                  <w:vAlign w:val="top"/>
                </w:tcPr>
                <w:p>
                  <w:r>
                    <w:rPr>
                      <w:i/>
                    </w:rPr>
                    <w:t xml:space="preserve">Total Indigenous</w:t>
                  </w:r>
                </w:p>
              </w:tc>
              <w:tc>
                <w:tcPr>
                  <w:tcW w:w="800" w:type="pct"/>
                  <w:vAlign w:val="top"/>
                </w:tcPr>
                <w:p>
                  <w:r>
                    <w:t xml:space="preserve">N[NNN]</w:t>
                  </w:r>
                </w:p>
              </w:tc>
              <w:tc>
                <w:tcPr>
                  <w:tcW w:w="800" w:type="pct"/>
                  <w:vAlign w:val="top"/>
                </w:tcPr>
                <w:p>
                  <w:r>
                    <w:t xml:space="preserve">N[NNN]</w:t>
                  </w:r>
                </w:p>
              </w:tc>
              <w:tc>
                <w:tcPr>
                  <w:tcW w:w="800" w:type="pct"/>
                  <w:vAlign w:val="top"/>
                </w:tcPr>
                <w:p>
                  <w:r>
                    <w:t xml:space="preserve">N[NNN]</w:t>
                  </w:r>
                </w:p>
              </w:tc>
            </w:tr>
            <w:tr>
              <w:trPr/>
              <w:tc>
                <w:tcPr>
                  <w:tcW w:w="2500" w:type="pct"/>
                  <w:vAlign w:val="top"/>
                </w:tcPr>
                <w:p>
                  <w:r>
                    <w:t xml:space="preserve">Non-Indigenous 0-18 years</w:t>
                  </w:r>
                </w:p>
              </w:tc>
              <w:tc>
                <w:tcPr>
                  <w:tcW w:w="800" w:type="pct"/>
                  <w:vAlign w:val="top"/>
                </w:tcPr>
                <w:p>
                  <w:r>
                    <w:t xml:space="preserve">N[NNN]</w:t>
                  </w:r>
                </w:p>
              </w:tc>
              <w:tc>
                <w:tcPr>
                  <w:tcW w:w="800" w:type="pct"/>
                  <w:vAlign w:val="top"/>
                </w:tcPr>
                <w:p>
                  <w:r>
                    <w:t xml:space="preserve">N[NNN]</w:t>
                  </w:r>
                </w:p>
              </w:tc>
              <w:tc>
                <w:tcPr>
                  <w:tcW w:w="800" w:type="pct"/>
                  <w:vAlign w:val="top"/>
                </w:tcPr>
                <w:p>
                  <w:r>
                    <w:t xml:space="preserve">N[NNN]</w:t>
                  </w:r>
                </w:p>
              </w:tc>
            </w:tr>
            <w:tr>
              <w:trPr/>
              <w:tc>
                <w:tcPr>
                  <w:tcW w:w="2500" w:type="pct"/>
                  <w:vAlign w:val="top"/>
                </w:tcPr>
                <w:p>
                  <w:r>
                    <w:t xml:space="preserve">Non-Indigenous 19-35 years</w:t>
                  </w:r>
                </w:p>
              </w:tc>
              <w:tc>
                <w:tcPr>
                  <w:tcW w:w="800" w:type="pct"/>
                  <w:vAlign w:val="top"/>
                </w:tcPr>
                <w:p>
                  <w:r>
                    <w:t xml:space="preserve">N[NNN]</w:t>
                  </w:r>
                </w:p>
              </w:tc>
              <w:tc>
                <w:tcPr>
                  <w:tcW w:w="800" w:type="pct"/>
                  <w:vAlign w:val="top"/>
                </w:tcPr>
                <w:p>
                  <w:r>
                    <w:t xml:space="preserve">N[NNN]</w:t>
                  </w:r>
                </w:p>
              </w:tc>
              <w:tc>
                <w:tcPr>
                  <w:tcW w:w="800" w:type="pct"/>
                  <w:vAlign w:val="top"/>
                </w:tcPr>
                <w:p>
                  <w:r>
                    <w:t xml:space="preserve">N[NNN]</w:t>
                  </w:r>
                </w:p>
              </w:tc>
            </w:tr>
            <w:tr>
              <w:trPr/>
              <w:tc>
                <w:tcPr>
                  <w:tcW w:w="2500" w:type="pct"/>
                  <w:vAlign w:val="top"/>
                </w:tcPr>
                <w:p>
                  <w:r>
                    <w:t xml:space="preserve">Non-Indigenous 36 years and over</w:t>
                  </w:r>
                </w:p>
              </w:tc>
              <w:tc>
                <w:tcPr>
                  <w:tcW w:w="800" w:type="pct"/>
                  <w:vAlign w:val="top"/>
                </w:tcPr>
                <w:p>
                  <w:r>
                    <w:t xml:space="preserve">N[NNN]</w:t>
                  </w:r>
                </w:p>
              </w:tc>
              <w:tc>
                <w:tcPr>
                  <w:tcW w:w="800" w:type="pct"/>
                  <w:vAlign w:val="top"/>
                </w:tcPr>
                <w:p>
                  <w:r>
                    <w:t xml:space="preserve">N[NNN]</w:t>
                  </w:r>
                </w:p>
              </w:tc>
              <w:tc>
                <w:tcPr>
                  <w:tcW w:w="800" w:type="pct"/>
                  <w:vAlign w:val="top"/>
                </w:tcPr>
                <w:p>
                  <w:r>
                    <w:t xml:space="preserve">N[NNN]</w:t>
                  </w:r>
                </w:p>
              </w:tc>
            </w:tr>
            <w:tr>
              <w:trPr/>
              <w:tc>
                <w:tcPr>
                  <w:tcW w:w="2500" w:type="pct"/>
                  <w:vAlign w:val="top"/>
                </w:tcPr>
                <w:p>
                  <w:r>
                    <w:rPr>
                      <w:i/>
                    </w:rPr>
                    <w:t xml:space="preserve">Total Non-Indigenous</w:t>
                  </w:r>
                </w:p>
              </w:tc>
              <w:tc>
                <w:tcPr>
                  <w:tcW w:w="800" w:type="pct"/>
                  <w:vAlign w:val="top"/>
                </w:tcPr>
                <w:p>
                  <w:r>
                    <w:t xml:space="preserve">N[NNN]</w:t>
                  </w:r>
                </w:p>
              </w:tc>
              <w:tc>
                <w:tcPr>
                  <w:tcW w:w="800" w:type="pct"/>
                  <w:vAlign w:val="top"/>
                </w:tcPr>
                <w:p>
                  <w:r>
                    <w:t xml:space="preserve">N[NNN]</w:t>
                  </w:r>
                </w:p>
              </w:tc>
              <w:tc>
                <w:tcPr>
                  <w:tcW w:w="800" w:type="pct"/>
                  <w:vAlign w:val="top"/>
                </w:tcPr>
                <w:p>
                  <w:r>
                    <w:t xml:space="preserve">N[NNN]</w:t>
                  </w:r>
                </w:p>
              </w:tc>
            </w:tr>
            <w:tr>
              <w:trPr/>
              <w:tc>
                <w:tcPr>
                  <w:tcW w:w="2500" w:type="pct"/>
                  <w:vAlign w:val="top"/>
                </w:tcPr>
                <w:p>
                  <w:r>
                    <w:rPr>
                      <w:b/>
                    </w:rPr>
                    <w:t xml:space="preserve">Total</w:t>
                  </w:r>
                </w:p>
              </w:tc>
              <w:tc>
                <w:tcPr>
                  <w:tcW w:w="800" w:type="pct"/>
                  <w:vAlign w:val="top"/>
                </w:tcPr>
                <w:p>
                  <w:r>
                    <w:t xml:space="preserve">N[NNN]</w:t>
                  </w:r>
                </w:p>
              </w:tc>
              <w:tc>
                <w:tcPr>
                  <w:tcW w:w="800" w:type="pct"/>
                  <w:vAlign w:val="top"/>
                </w:tcPr>
                <w:p>
                  <w:r>
                    <w:t xml:space="preserve">N[NNN]</w:t>
                  </w:r>
                </w:p>
              </w:tc>
              <w:tc>
                <w:tcPr>
                  <w:tcW w:w="800" w:type="pct"/>
                  <w:vAlign w:val="top"/>
                </w:tcPr>
                <w:p>
                  <w:r>
                    <w:t xml:space="preserve">N[NNN]</w:t>
                  </w:r>
                </w:p>
              </w:tc>
            </w:tr>
          </w:tbl>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Each person is only counted once, no matter how many times that they were admitted into residential care during the year.</w:t>
            </w:r>
          </w:p>
          <w:p>
            <w:pPr>
              <w:spacing w:after="160"/>
            </w:pPr>
            <w:r>
              <w:rPr>
                <w:rStyle w:val="row-content-rich-text"/>
              </w:rPr>
              <w:t xml:space="preserve">Includes:</w:t>
            </w:r>
          </w:p>
          <w:p>
            <w:pPr>
              <w:pStyle w:val="ListParagraph"/>
              <w:numPr>
                <w:ilvl w:val="0"/>
                <w:numId w:val="2"/>
              </w:numPr>
            </w:pPr>
            <w:r>
              <w:rPr>
                <w:rStyle w:val="row-content-rich-text"/>
              </w:rPr>
              <w:t xml:space="preserve">people who were officially clients of the service, i.e. they received treatment and/or rehabilitation for substance use issues.</w:t>
            </w:r>
          </w:p>
          <w:p>
            <w:pPr>
              <w:spacing w:after="160"/>
            </w:pPr>
            <w:r>
              <w:rPr>
                <w:rStyle w:val="row-content-rich-text"/>
              </w:rPr>
              <w:t xml:space="preserve">Excludes:</w:t>
            </w:r>
          </w:p>
          <w:p>
            <w:pPr>
              <w:pStyle w:val="ListParagraph"/>
              <w:numPr>
                <w:ilvl w:val="0"/>
                <w:numId w:val="3"/>
              </w:numPr>
            </w:pPr>
            <w:r>
              <w:rPr>
                <w:rStyle w:val="row-content-rich-text"/>
              </w:rPr>
              <w:t xml:space="preserve">sobering-up/residential respite/short term programs</w:t>
            </w:r>
          </w:p>
          <w:p>
            <w:pPr>
              <w:pStyle w:val="ListParagraph"/>
              <w:numPr>
                <w:ilvl w:val="0"/>
                <w:numId w:val="3"/>
              </w:numPr>
            </w:pPr>
            <w:r>
              <w:rPr>
                <w:rStyle w:val="row-content-rich-text"/>
              </w:rPr>
              <w:t xml:space="preserve">clients who did not receive formal treatment and/or rehabilitation such as housing clients.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The Aboriginal and Torres Strait Islander standalone substance use service is required to provide numbers of male, female and total clients in residential treatment/rehabilitation by Indigenous status and age group (0–18, 19–35 and 36 years and over), as detailed in the Scope, Clients in residential treatment/rehabilitation table. The total Indigenous and non-Indigenous clients may include unknown or not reported sex. Total sex may include unknown or not reported Indigenous status.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0ab61f48acf49e3">
              <w:r>
                <w:rPr>
                  <w:rStyle w:val="Hyperlink"/>
                </w:rPr>
                <w:t xml:space="preserve">Aboriginal and Torres Strait Islander standalone substance use services residential treatment/rehabilitation client numbers cluster</w:t>
              </w:r>
            </w:hyperlink>
          </w:p>
          <w:p>
            <w:pPr>
              <w:pStyle w:val="registration-status"/>
              <w:spacing w:before="0" w:after="0"/>
            </w:pPr>
            <w:hyperlink w:history="true" r:id="R410b8667863d4c42">
              <w:r>
                <w:rPr>
                  <w:rStyle w:val="Hyperlink"/>
                  <w:color w:val="244061"/>
                </w:rPr>
                <w:t xml:space="preserve">Indigenous</w:t>
              </w:r>
            </w:hyperlink>
            <w:r>
              <w:rPr>
                <w:rStyle w:val="row-content"/>
                <w:color w:val="244061"/>
              </w:rPr>
              <w:t xml:space="preserve">, Superseded 07/12/2017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944488a88e2400d">
              <w:r>
                <w:rPr>
                  <w:rStyle w:val="Hyperlink"/>
                </w:rPr>
                <w:t xml:space="preserve">Aboriginal and Torres Strait Islander standalone substance use services DSS </w:t>
              </w:r>
            </w:hyperlink>
          </w:p>
          <w:p>
            <w:pPr>
              <w:pStyle w:val="registration-status"/>
              <w:spacing w:before="0" w:after="0"/>
            </w:pPr>
            <w:hyperlink w:history="true" r:id="Ra893d8cb13234e85">
              <w:r>
                <w:rPr>
                  <w:rStyle w:val="Hyperlink"/>
                  <w:color w:val="244061"/>
                </w:rPr>
                <w:t xml:space="preserve">Indigenous</w:t>
              </w:r>
            </w:hyperlink>
            <w:r>
              <w:rPr>
                <w:rStyle w:val="row-content"/>
                <w:color w:val="244061"/>
              </w:rPr>
              <w:t xml:space="preserve">, Standard 07/12/2017</w:t>
            </w:r>
          </w:p>
          <w:p>
            <w:r>
              <w:rPr>
                <w:rStyle w:val="row-content"/>
                <w:b/>
                <w:i/>
              </w:rPr>
              <w:t xml:space="preserve">Implementation start date: </w:t>
            </w:r>
            <w:r>
              <w:rPr>
                <w:rStyle w:val="row-content"/>
              </w:rPr>
              <w:t xml:space="preserve">01/07/2011</w:t>
            </w:r>
            <w:r>
              <w:br/>
            </w:r>
          </w:p>
          <w:p>
            <w:r>
              <w:rPr>
                <w:rStyle w:val="row-content"/>
                <w:b/>
                <w:i/>
              </w:rPr>
              <w:t xml:space="preserve">Implementation end date: </w:t>
            </w:r>
            <w:r>
              <w:rPr>
                <w:rStyle w:val="row-content"/>
              </w:rPr>
              <w:t xml:space="preserve">30/06/2012</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13492c0eab14a61">
                    <w:r>
                      <w:rPr>
                        <w:rStyle w:val="Hyperlink"/>
                      </w:rPr>
                      <w:t xml:space="preserve">Person—age range, Aboriginal and Torres Strait Islander standalone services client age ranges code N</w:t>
                    </w:r>
                  </w:hyperlink>
                </w:p>
                <w:p>
                  <w:r>
                    <w:rPr>
                      <w:b/>
                      <w:i/>
                      <w:color w:val="333333"/>
                    </w:rPr>
                    <w:t xml:space="preserve">DSS specific information:</w:t>
                  </w:r>
                </w:p>
                <w:p>
                  <w:r>
                    <w:t xml:space="preserve">This data element is used to determine the age range of the Aboriginal and Torres Strait Islander standalone substance use service's residential treatment/rehabilitation client.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1fb652aaf054448">
                    <w:r>
                      <w:rPr>
                        <w:rStyle w:val="Hyperlink"/>
                      </w:rPr>
                      <w:t xml:space="preserve">Person—Indigenous status, code N</w:t>
                    </w:r>
                  </w:hyperlink>
                </w:p>
                <w:p>
                  <w:r>
                    <w:rPr>
                      <w:b/>
                      <w:i/>
                      <w:color w:val="333333"/>
                    </w:rPr>
                    <w:t xml:space="preserve">DSS specific information:</w:t>
                  </w:r>
                </w:p>
                <w:p>
                  <w:r>
                    <w:t xml:space="preserve">This data element is used to determine the Indigenous status of the Aboriginal and Torres Strait Islander standalone substance use service's residential treatment/rehabilitation client.</w:t>
                  </w:r>
                  <w:r>
                    <w:br/>
                  </w:r>
                  <w:r>
                    <w:t xml:space="preserve"> </w:t>
                  </w:r>
                  <w:r>
                    <w:br/>
                  </w:r>
                  <w:r>
                    <w:t xml:space="preserve">In the Indigenous status data element, codes 1 (Aboriginal but not Torres Strait Islander origin), 2 (Torres Strait Islander but not Aboriginal origin) and 3 (Both Aboriginal and Torres Strait Islander origin) are aggregated to Indigenous, code 4 (Neither Aboriginal nor Torres Strait Islander origin) maps to non-Indigenous and code 9 (Not stated/inadequately described) maps to Unknown Indigenous status.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f66006de9814a46">
                    <w:r>
                      <w:rPr>
                        <w:rStyle w:val="Hyperlink"/>
                      </w:rPr>
                      <w:t xml:space="preserve">Person—sex, code N</w:t>
                    </w:r>
                  </w:hyperlink>
                </w:p>
                <w:p>
                  <w:r>
                    <w:rPr>
                      <w:b/>
                      <w:i/>
                      <w:color w:val="333333"/>
                    </w:rPr>
                    <w:t xml:space="preserve">DSS specific information:</w:t>
                  </w:r>
                </w:p>
                <w:p>
                  <w:r>
                    <w:t xml:space="preserve">This data element refers to the sex of the Aboriginal and Torres Strait Islander standalone substance use service's residential treatment/rehabilitation client.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e45eb0409bf4ef3">
                    <w:r>
                      <w:rPr>
                        <w:rStyle w:val="Hyperlink"/>
                      </w:rPr>
                      <w:t xml:space="preserve">Service provider organisation—number of clients, total people N[NNNN]</w:t>
                    </w:r>
                  </w:hyperlink>
                </w:p>
                <w:p>
                  <w:r>
                    <w:rPr>
                      <w:b/>
                      <w:i/>
                      <w:color w:val="333333"/>
                    </w:rPr>
                    <w:t xml:space="preserve">DSS specific information:</w:t>
                  </w:r>
                </w:p>
                <w:p>
                  <w:r>
                    <w:t xml:space="preserve">This data element refers to the number of Aboriginal and Torres Strait Islander standalone substance use service's residential treatment/rehabilitation clients.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4ca9077345dd460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677083</w:t>
    </w:r>
    <w:r>
      <w:ptab w:alignment="right" w:relativeTo="margin" w:leader="none"/>
    </w:r>
    <w:r>
      <w:t xml:space="preserve">Page </w:t>
    </w:r>
    <w:fldSimple w:instr="PAGE"/>
    <w:r>
      <w:t xml:space="preserve"> of </w:t>
    </w:r>
    <w:fldSimple w:instr="NUMPAGES"/>
    <w:r>
      <w:ptab w:alignment="left" w:relativeTo="margin" w:leader="none"/>
    </w:r>
    <w:r>
      <w:t>Downloaded 03-Jul-2024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20ca26dd2c843a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ca9077345dd460f" /><Relationship Type="http://schemas.openxmlformats.org/officeDocument/2006/relationships/header" Target="/word/header1.xml" Id="R696f49e3f6b843f3" /><Relationship Type="http://schemas.openxmlformats.org/officeDocument/2006/relationships/settings" Target="/word/settings.xml" Id="Rd22271aaace14088" /><Relationship Type="http://schemas.openxmlformats.org/officeDocument/2006/relationships/styles" Target="/word/styles.xml" Id="R478a4191ccc34bbe" /><Relationship Type="http://schemas.openxmlformats.org/officeDocument/2006/relationships/numbering" Target="/word/numbering.xml" Id="R78bc1c5694954633" /><Relationship Type="http://schemas.openxmlformats.org/officeDocument/2006/relationships/hyperlink" Target="https://meteor-uat.aihw.gov.au/RegistrationAuthority/9" TargetMode="External" Id="R68b23f9f0e19460d" /><Relationship Type="http://schemas.openxmlformats.org/officeDocument/2006/relationships/hyperlink" Target="https://meteor-uat.aihw.gov.au/content/575764" TargetMode="External" Id="Ra0ab61f48acf49e3" /><Relationship Type="http://schemas.openxmlformats.org/officeDocument/2006/relationships/hyperlink" Target="https://meteor-uat.aihw.gov.au/RegistrationAuthority/9" TargetMode="External" Id="R410b8667863d4c42" /><Relationship Type="http://schemas.openxmlformats.org/officeDocument/2006/relationships/hyperlink" Target="https://meteor-uat.aihw.gov.au/content/664879" TargetMode="External" Id="Rb944488a88e2400d" /><Relationship Type="http://schemas.openxmlformats.org/officeDocument/2006/relationships/hyperlink" Target="https://meteor-uat.aihw.gov.au/RegistrationAuthority/9" TargetMode="External" Id="Ra893d8cb13234e85" /><Relationship Type="http://schemas.openxmlformats.org/officeDocument/2006/relationships/hyperlink" Target="https://meteor-uat.aihw.gov.au/content/575922" TargetMode="External" Id="Rf13492c0eab14a61" /><Relationship Type="http://schemas.openxmlformats.org/officeDocument/2006/relationships/hyperlink" Target="https://meteor-uat.aihw.gov.au/content/291036" TargetMode="External" Id="R61fb652aaf054448" /><Relationship Type="http://schemas.openxmlformats.org/officeDocument/2006/relationships/hyperlink" Target="https://meteor-uat.aihw.gov.au/content/287316" TargetMode="External" Id="R6f66006de9814a46" /><Relationship Type="http://schemas.openxmlformats.org/officeDocument/2006/relationships/hyperlink" Target="https://meteor-uat.aihw.gov.au/content/321271" TargetMode="External" Id="Rbe45eb0409bf4ef3" /></Relationships>
</file>

<file path=word/_rels/header1.xml.rels>&#65279;<?xml version="1.0" encoding="utf-8"?><Relationships xmlns="http://schemas.openxmlformats.org/package/2006/relationships"><Relationship Type="http://schemas.openxmlformats.org/officeDocument/2006/relationships/image" Target="/media/image.png" Id="Rf20ca26dd2c843ae" /></Relationships>
</file>