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0980b44271472d"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individual client contacts cluster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individual client contacts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d275373ebc4c8e">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individual client contacts cluster describes the number of individual client contacts made by each type of worker from an Aboriginal and Torres Strait Islander primary health-care service that received funding from the Australian Government through the Office for Aboriginal and Torres Strait Islander Health (OATSIH).</w:t>
            </w:r>
          </w:p>
          <w:p>
            <w:pPr>
              <w:spacing w:after="160"/>
            </w:pPr>
            <w:r>
              <w:rPr>
                <w:rStyle w:val="row-content-rich-text"/>
              </w:rPr>
              <w:t xml:space="preserve">The data elements are used together to provide a count of the number of client contacts by type of worker by the sex of the Aboriginal and Torres Strait Islander health services clients.</w:t>
            </w:r>
          </w:p>
          <w:p>
            <w:pPr>
              <w:spacing w:after="160"/>
            </w:pPr>
            <w:r>
              <w:rPr>
                <w:rStyle w:val="row-content-rich-text"/>
                <w:b/>
              </w:rPr>
              <w:t xml:space="preserve">Aboriginal and Torres Strait Islander primary health-care services individual client contacts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Aboriginal and Torres Strait Islander health workers (AHW) excluding transport without health care provision</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Doctors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Nurses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Substance misuse workers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Social and emotional wellbeing staff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Medical specialists/other allied health professionals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Dentists/dental therapists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Dental support workers (e.g. dental assistants, dental technicians)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Sexual health workers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Traditional healers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Transport workers (e.g. AHW/field officer/driver contacts)</w:t>
                  </w:r>
                </w:p>
                <w:p>
                  <w:r>
                    <w:t xml:space="preserve">    - taking clients to see health professionals who DO NOT work for this service</w:t>
                  </w:r>
                </w:p>
                <w:p>
                  <w:r>
                    <w:t xml:space="preserve">      - taking clients to see health professionals who DO work for this service</w:t>
                  </w:r>
                </w:p>
              </w:tc>
              <w:tc>
                <w:tcPr>
                  <w:tcW w:w="800" w:type="pct"/>
                  <w:vAlign w:val="top"/>
                </w:tcPr>
                <w:p>
                  <w:r>
                    <w:t xml:space="preserve">N[NNN]</w:t>
                  </w:r>
                </w:p>
                <w:p>
                  <w:r>
                    <w:t xml:space="preserve">N[NNN]</w:t>
                  </w:r>
                </w:p>
              </w:tc>
              <w:tc>
                <w:tcPr>
                  <w:tcW w:w="800" w:type="pct"/>
                  <w:vAlign w:val="top"/>
                </w:tcPr>
                <w:p>
                  <w:r>
                    <w:t xml:space="preserve">N[NNN]</w:t>
                  </w:r>
                </w:p>
                <w:p>
                  <w:r>
                    <w:t xml:space="preserve">N[NNN]</w:t>
                  </w:r>
                </w:p>
              </w:tc>
              <w:tc>
                <w:tcPr>
                  <w:tcW w:w="800" w:type="pct"/>
                  <w:vAlign w:val="top"/>
                </w:tcPr>
                <w:p>
                  <w:r>
                    <w:t xml:space="preserve">N[NNN]</w:t>
                  </w:r>
                </w:p>
                <w:p>
                  <w:r>
                    <w:t xml:space="preserve">N[NNN]</w:t>
                  </w:r>
                </w:p>
              </w:tc>
            </w:tr>
            <w:tr>
              <w:trPr/>
              <w:tc>
                <w:tcPr>
                  <w:tcW w:w="2500" w:type="pct"/>
                  <w:vAlign w:val="top"/>
                </w:tcPr>
                <w:p>
                  <w:r>
                    <w:t xml:space="preserve">Contacts with other staff members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health-care contact occurs when a health professional sees an individual client or provides advice over the phone. A transport contact occurs when a client is given transport by the service to see either a health professional working for the service, or another health professional.</w:t>
            </w:r>
          </w:p>
          <w:p>
            <w:pPr>
              <w:spacing w:after="160"/>
            </w:pPr>
            <w:r>
              <w:rPr>
                <w:rStyle w:val="row-content-rich-text"/>
              </w:rPr>
              <w:t xml:space="preserve">Includes:</w:t>
            </w:r>
          </w:p>
          <w:p>
            <w:pPr>
              <w:pStyle w:val="ListParagraph"/>
              <w:numPr>
                <w:ilvl w:val="0"/>
                <w:numId w:val="2"/>
              </w:numPr>
            </w:pPr>
            <w:r>
              <w:rPr>
                <w:rStyle w:val="row-content-rich-text"/>
              </w:rPr>
              <w:t xml:space="preserve">staff and visiting health professionals</w:t>
            </w:r>
          </w:p>
          <w:p>
            <w:pPr>
              <w:pStyle w:val="ListParagraph"/>
              <w:numPr>
                <w:ilvl w:val="0"/>
                <w:numId w:val="2"/>
              </w:numPr>
            </w:pPr>
            <w:r>
              <w:rPr>
                <w:rStyle w:val="row-content-rich-text"/>
              </w:rPr>
              <w:t xml:space="preserve">contacts involving direct provision of health care, including but not limited to, for sickness, injury, counselling, health education and screening</w:t>
            </w:r>
          </w:p>
          <w:p>
            <w:pPr>
              <w:pStyle w:val="ListParagraph"/>
              <w:numPr>
                <w:ilvl w:val="0"/>
                <w:numId w:val="2"/>
              </w:numPr>
            </w:pPr>
            <w:r>
              <w:rPr>
                <w:rStyle w:val="row-content-rich-text"/>
              </w:rPr>
              <w:t xml:space="preserve">all contacts involving transport (note: where an Aboriginal and Torres Strait Islander  worker (AHW) provides transport and health care as part of one contact, this is counted as an AHW contact. Where an AHW provides transport only in one contact, this is counted as a transport worker contact)</w:t>
            </w:r>
          </w:p>
          <w:p>
            <w:pPr>
              <w:spacing w:after="160"/>
            </w:pPr>
            <w:r>
              <w:rPr>
                <w:rStyle w:val="row-content-rich-text"/>
              </w:rPr>
              <w:t xml:space="preserve">Excludes:</w:t>
            </w:r>
          </w:p>
          <w:p>
            <w:pPr>
              <w:pStyle w:val="ListParagraph"/>
              <w:numPr>
                <w:ilvl w:val="0"/>
                <w:numId w:val="3"/>
              </w:numPr>
            </w:pPr>
            <w:r>
              <w:rPr>
                <w:rStyle w:val="row-content-rich-text"/>
              </w:rPr>
              <w:t xml:space="preserve">contacts with groups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primary health-care service provides counts of male, female and total client contacts by type of worker, as detailed in the Scope, Aboriginal and Torres Strait Islander primary health-care services individual client contacts table. The total client contacts may include clients for which sex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8015b893724199">
              <w:r>
                <w:rPr>
                  <w:rStyle w:val="Hyperlink"/>
                </w:rPr>
                <w:t xml:space="preserve">Aboriginal and Torres Strait Islander primary health-care services individual client contacts cluster </w:t>
              </w:r>
            </w:hyperlink>
          </w:p>
          <w:p>
            <w:pPr>
              <w:pStyle w:val="registration-status"/>
              <w:spacing w:before="0" w:after="0"/>
            </w:pPr>
            <w:hyperlink w:history="true" r:id="Ra7bae3f635a74dfd">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ebafdf9f894884">
              <w:r>
                <w:rPr>
                  <w:rStyle w:val="Hyperlink"/>
                </w:rPr>
                <w:t xml:space="preserve">Aboriginal and Torres Strait Islander primary health-care services DSS </w:t>
              </w:r>
            </w:hyperlink>
          </w:p>
          <w:p>
            <w:pPr>
              <w:pStyle w:val="registration-status"/>
              <w:spacing w:before="0" w:after="0"/>
            </w:pPr>
            <w:hyperlink w:history="true" r:id="Rd943477842194e4d">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3cfa932be14c30">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41dff4164d4dea">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70ec4538994e00">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4af54994a44af5">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b7c93f8d811744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676946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d733ec14e345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c93f8d81174480" /><Relationship Type="http://schemas.openxmlformats.org/officeDocument/2006/relationships/header" Target="/word/header1.xml" Id="R2307b9c1d43946ee" /><Relationship Type="http://schemas.openxmlformats.org/officeDocument/2006/relationships/settings" Target="/word/settings.xml" Id="R381ad51525a84005" /><Relationship Type="http://schemas.openxmlformats.org/officeDocument/2006/relationships/styles" Target="/word/styles.xml" Id="R8e3f6334b59e40df" /><Relationship Type="http://schemas.openxmlformats.org/officeDocument/2006/relationships/numbering" Target="/word/numbering.xml" Id="R3bfc2a379ade4905" /><Relationship Type="http://schemas.openxmlformats.org/officeDocument/2006/relationships/hyperlink" Target="https://meteor-uat.aihw.gov.au/RegistrationAuthority/9" TargetMode="External" Id="R4cd275373ebc4c8e" /><Relationship Type="http://schemas.openxmlformats.org/officeDocument/2006/relationships/hyperlink" Target="https://meteor-uat.aihw.gov.au/content/564904" TargetMode="External" Id="R8c8015b893724199" /><Relationship Type="http://schemas.openxmlformats.org/officeDocument/2006/relationships/hyperlink" Target="https://meteor-uat.aihw.gov.au/RegistrationAuthority/9" TargetMode="External" Id="Ra7bae3f635a74dfd" /><Relationship Type="http://schemas.openxmlformats.org/officeDocument/2006/relationships/hyperlink" Target="https://meteor-uat.aihw.gov.au/content/664877" TargetMode="External" Id="R05ebafdf9f894884" /><Relationship Type="http://schemas.openxmlformats.org/officeDocument/2006/relationships/hyperlink" Target="https://meteor-uat.aihw.gov.au/RegistrationAuthority/9" TargetMode="External" Id="Rd943477842194e4d" /><Relationship Type="http://schemas.openxmlformats.org/officeDocument/2006/relationships/hyperlink" Target="https://meteor-uat.aihw.gov.au/content/287316" TargetMode="External" Id="R043cfa932be14c30" /><Relationship Type="http://schemas.openxmlformats.org/officeDocument/2006/relationships/hyperlink" Target="https://meteor-uat.aihw.gov.au/content/665298" TargetMode="External" Id="Rc441dff4164d4dea" /><Relationship Type="http://schemas.openxmlformats.org/officeDocument/2006/relationships/hyperlink" Target="https://meteor-uat.aihw.gov.au/content/565716" TargetMode="External" Id="R8870ec4538994e00" /><Relationship Type="http://schemas.openxmlformats.org/officeDocument/2006/relationships/hyperlink" Target="https://meteor-uat.aihw.gov.au/content/483060" TargetMode="External" Id="R744af54994a44af5" /></Relationships>
</file>

<file path=word/_rels/header1.xml.rels>&#65279;<?xml version="1.0" encoding="utf-8"?><Relationships xmlns="http://schemas.openxmlformats.org/package/2006/relationships"><Relationship Type="http://schemas.openxmlformats.org/officeDocument/2006/relationships/image" Target="/media/image.png" Id="Rf9d733ec14e3458e" /></Relationships>
</file>