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aac9ad025c4403" /></Relationships>
</file>

<file path=word/document.xml><?xml version="1.0" encoding="utf-8"?>
<w:document xmlns:r="http://schemas.openxmlformats.org/officeDocument/2006/relationships" xmlns:w="http://schemas.openxmlformats.org/wordprocessingml/2006/main">
  <w:body>
    <w:p>
      <w:pPr>
        <w:pStyle w:val="Title"/>
      </w:pPr>
      <w:r>
        <w:t>Person—Indigenous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Indigenous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PER_INDIGENOUS_STATUS_CODE; INDIGENOUS_STATUS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a962802f024ae6">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a person identifies as being of Aboriginal or Torres Strait Islander origin.This is in accordance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6bd6d69fe94d4b">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c8e2ddc76e42f5">
              <w:r>
                <w:rPr>
                  <w:rStyle w:val="Hyperlink"/>
                </w:rPr>
                <w:t xml:space="preserve">Indigenous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ABG</w:t>
            </w:r>
          </w:p>
        </w:tc>
        <w:tc>
          <w:tcPr>
            <w:tcBorders>
              <w:top w:val="none" w:color="000000" w:sz="0"/>
              <w:left w:val="none" w:color="000000" w:sz="0"/>
              <w:bottom w:val="none" w:color="000000" w:sz="0"/>
              <w:right w:val="none" w:color="000000" w:sz="0"/>
            </w:tcBorders>
            <w:vAlign w:val="top"/>
          </w:tcPr>
          <w:p>
            <w:r>
              <w:t xml:space="preserve">Aboriginal but not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ABT</w:t>
            </w:r>
          </w:p>
        </w:tc>
        <w:tc>
          <w:tcPr>
            <w:tcBorders>
              <w:top w:val="none" w:color="000000" w:sz="0"/>
              <w:left w:val="none" w:color="000000" w:sz="0"/>
              <w:bottom w:val="none" w:color="000000" w:sz="0"/>
              <w:right w:val="none" w:color="000000" w:sz="0"/>
            </w:tcBorders>
            <w:vAlign w:val="top"/>
          </w:tcPr>
          <w:p>
            <w:r>
              <w:t xml:space="preserve">Both Aboriginal and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TSI</w:t>
            </w:r>
          </w:p>
        </w:tc>
        <w:tc>
          <w:tcPr>
            <w:tcBorders>
              <w:top w:val="none" w:color="000000" w:sz="0"/>
              <w:left w:val="none" w:color="000000" w:sz="0"/>
              <w:bottom w:val="none" w:color="000000" w:sz="0"/>
              <w:right w:val="none" w:color="000000" w:sz="0"/>
            </w:tcBorders>
            <w:vAlign w:val="top"/>
          </w:tcPr>
          <w:p>
            <w:r>
              <w:t xml:space="preserve">Torres Strait Islander but not Aboriginal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Neither Aboriginal nor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w:t>
            </w:r>
          </w:p>
          <w:p>
            <w:pPr>
              <w:pStyle w:val="ListParagraph"/>
              <w:numPr>
                <w:ilvl w:val="0"/>
                <w:numId w:val="2"/>
              </w:numPr>
            </w:pPr>
            <w:r>
              <w:rPr>
                <w:rStyle w:val="row-content-rich-text"/>
              </w:rPr>
              <w:t xml:space="preserve">Torres Strait Islander but not Aboriginal</w:t>
            </w:r>
          </w:p>
          <w:p>
            <w:pPr>
              <w:pStyle w:val="ListParagraph"/>
              <w:numPr>
                <w:ilvl w:val="0"/>
                <w:numId w:val="2"/>
              </w:numPr>
            </w:pPr>
            <w:r>
              <w:rPr>
                <w:rStyle w:val="row-content-rich-text"/>
              </w:rPr>
              <w:t xml:space="preserve">Both Aboriginal and Torres Strait Islander.</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w:t>
            </w:r>
          </w:p>
          <w:p>
            <w:pPr>
              <w:spacing w:after="160"/>
            </w:pPr>
            <w:r>
              <w:rPr>
                <w:rStyle w:val="row-content-rich-text"/>
              </w:rPr>
              <w:t xml:space="preserve">This data item is a mandatory item for national reporting, using the data element:</w:t>
            </w:r>
          </w:p>
          <w:p>
            <w:hyperlink w:history="true" r:id="R2191abe8e0304275">
              <w:r>
                <w:rPr>
                  <w:rStyle w:val="Hyperlink"/>
                </w:rPr>
                <w:t xml:space="preserve">Person-Indigenous status,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400" w:type="pct"/>
                  <w:vAlign w:val="top"/>
                </w:tcPr>
                <w:p>
                  <w:pPr/>
                  <w:r>
                    <w:rPr>
                      <w:rStyle w:val="row-content-rich-text"/>
                    </w:rPr>
                    <w:t xml:space="preserve"> </w:t>
                  </w:r>
                  <w:r>
                    <w:rPr>
                      <w:rStyle w:val="row-content-rich-text"/>
                      <w:b/>
                    </w:rPr>
                    <w:t xml:space="preserve">Local codes (NAPAAWL codes)   </w:t>
                  </w:r>
                </w:p>
              </w:tc>
              <w:tc>
                <w:tcPr>
                  <w:tcW w:w="2550" w:type="pct"/>
                  <w:vAlign w:val="top"/>
                </w:tcPr>
                <w:p>
                  <w:r>
                    <w:rPr>
                      <w:b/>
                    </w:rPr>
                    <w:t xml:space="preserve">National codes    </w:t>
                  </w:r>
                </w:p>
              </w:tc>
            </w:tr>
            <w:tr>
              <w:trPr/>
              <w:tc>
                <w:tcPr>
                  <w:tcW w:w="2400" w:type="pct"/>
                  <w:vAlign w:val="top"/>
                </w:tcPr>
                <w:p>
                  <w:r>
                    <w:t xml:space="preserve">ABG Aboriginal but not Torres Strait Islander</w:t>
                  </w:r>
                </w:p>
              </w:tc>
              <w:tc>
                <w:tcPr>
                  <w:tcW w:w="2550" w:type="pct"/>
                  <w:vAlign w:val="top"/>
                </w:tcPr>
                <w:p>
                  <w:r>
                    <w:t xml:space="preserve">1 Aboriginal but not Torres Strait Islander origin</w:t>
                  </w:r>
                </w:p>
              </w:tc>
            </w:tr>
            <w:tr>
              <w:trPr/>
              <w:tc>
                <w:tcPr>
                  <w:tcW w:w="2400" w:type="pct"/>
                  <w:vAlign w:val="top"/>
                </w:tcPr>
                <w:p>
                  <w:r>
                    <w:t xml:space="preserve">TSI Torres Strait Islander but not Aboriginal</w:t>
                  </w:r>
                </w:p>
              </w:tc>
              <w:tc>
                <w:tcPr>
                  <w:tcW w:w="2550" w:type="pct"/>
                  <w:vAlign w:val="top"/>
                </w:tcPr>
                <w:p>
                  <w:r>
                    <w:t xml:space="preserve">2 Torres Strait Islander but not Aboriginal origin</w:t>
                  </w:r>
                </w:p>
              </w:tc>
            </w:tr>
            <w:tr>
              <w:trPr/>
              <w:tc>
                <w:tcPr>
                  <w:tcW w:w="2400" w:type="pct"/>
                  <w:vAlign w:val="top"/>
                </w:tcPr>
                <w:p>
                  <w:r>
                    <w:t xml:space="preserve">ABT Both Aboriginal and Torres Strait Islander</w:t>
                  </w:r>
                </w:p>
              </w:tc>
              <w:tc>
                <w:tcPr>
                  <w:tcW w:w="2550" w:type="pct"/>
                  <w:vAlign w:val="top"/>
                </w:tcPr>
                <w:p>
                  <w:r>
                    <w:t xml:space="preserve">3 Both Aboriginal and Torres Strait Islander origin</w:t>
                  </w:r>
                </w:p>
              </w:tc>
            </w:tr>
            <w:tr>
              <w:trPr/>
              <w:tc>
                <w:tcPr>
                  <w:tcW w:w="2400" w:type="pct"/>
                  <w:vAlign w:val="top"/>
                </w:tcPr>
                <w:p>
                  <w:r>
                    <w:t xml:space="preserve">OTH Neither Aboriginal nor Torres Strait Islander</w:t>
                  </w:r>
                </w:p>
              </w:tc>
              <w:tc>
                <w:tcPr>
                  <w:tcW w:w="2550" w:type="pct"/>
                  <w:vAlign w:val="top"/>
                </w:tcPr>
                <w:p>
                  <w:r>
                    <w:t xml:space="preserve">4 Neither Aboriginal nor Torres Strait Islander origin</w:t>
                  </w:r>
                </w:p>
              </w:tc>
            </w:tr>
            <w:tr>
              <w:trPr/>
              <w:tc>
                <w:tcPr>
                  <w:tcW w:w="2400" w:type="pct"/>
                  <w:vAlign w:val="top"/>
                </w:tcPr>
                <w:p>
                  <w:r>
                    <w:t xml:space="preserve">NSP Not specified</w:t>
                  </w:r>
                </w:p>
                <w:p>
                  <w:r>
                    <w:t xml:space="preserve">UNK Unknown</w:t>
                  </w:r>
                </w:p>
              </w:tc>
              <w:tc>
                <w:tcPr>
                  <w:tcW w:w="2550" w:type="pct"/>
                  <w:vAlign w:val="top"/>
                </w:tcPr>
                <w:p>
                  <w:r>
                    <w:t xml:space="preserve">9 Not stated/inadequately described</w:t>
                  </w:r>
                </w:p>
              </w:tc>
            </w:tr>
          </w:tbl>
          <w:p>
            <w:r>
              <w:t xml:space="preserve"> </w:t>
            </w:r>
          </w:p>
          <w:p>
            <w:r>
              <w:t xml:space="preserve">The synonymous name PER_INDIGENOUS_STATUS_CODE is used for local reporting purposes.</w:t>
            </w:r>
          </w:p>
          <w:p>
            <w:r>
              <w:t xml:space="preserve">The nationally reported data element has the synonymous name INDIGENOUS_STATUS.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4"/>
              </w:numPr>
            </w:pPr>
            <w:r>
              <w:rPr>
                <w:rStyle w:val="row-content-rich-text"/>
              </w:rPr>
              <w:t xml:space="preserve">descent;</w:t>
            </w:r>
          </w:p>
          <w:p>
            <w:pPr>
              <w:pStyle w:val="ListParagraph"/>
              <w:numPr>
                <w:ilvl w:val="0"/>
                <w:numId w:val="4"/>
              </w:numPr>
            </w:pPr>
            <w:r>
              <w:rPr>
                <w:rStyle w:val="row-content-rich-text"/>
              </w:rPr>
              <w:t xml:space="preserve">self-identification; and</w:t>
            </w:r>
          </w:p>
          <w:p>
            <w:pPr>
              <w:pStyle w:val="ListParagraph"/>
              <w:numPr>
                <w:ilvl w:val="0"/>
                <w:numId w:val="4"/>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1273eae8e74263">
              <w:r>
                <w:rPr>
                  <w:rStyle w:val="Hyperlink"/>
                </w:rPr>
                <w:t xml:space="preserve">Person—Indigenous status, code AAA</w:t>
              </w:r>
            </w:hyperlink>
          </w:p>
          <w:p>
            <w:pPr>
              <w:pStyle w:val="registration-status"/>
              <w:spacing w:before="0" w:after="0"/>
            </w:pPr>
            <w:hyperlink w:history="true" r:id="R3004fc0f7467443e">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a3a0850f0a4394">
              <w:r>
                <w:rPr>
                  <w:rStyle w:val="Hyperlink"/>
                </w:rPr>
                <w:t xml:space="preserve">WA Health Non-Admitted Patient Activity and Wait List Data Collection (NAPAAWL DC) 2016-17</w:t>
              </w:r>
            </w:hyperlink>
          </w:p>
          <w:p>
            <w:pPr>
              <w:pStyle w:val="registration-status"/>
              <w:spacing w:before="0" w:after="0"/>
            </w:pPr>
            <w:hyperlink w:history="true" r:id="R756b5b0c00ea4085">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9ed70db695b84860">
              <w:r>
                <w:rPr>
                  <w:rStyle w:val="Hyperlink"/>
                </w:rPr>
                <w:t xml:space="preserve">Non-admitted patient NBEDS 2016-17</w:t>
              </w:r>
            </w:hyperlink>
          </w:p>
          <w:p>
            <w:r>
              <w:rPr>
                <w:rStyle w:val="row-content"/>
              </w:rPr>
              <w:t xml:space="preserve"> </w:t>
            </w:r>
          </w:p>
          <w:p>
            <w:r>
              <w:rPr>
                <w:rStyle w:val="row-content"/>
              </w:rPr>
              <w:t xml:space="preserve">It is reported nationally using the data element:</w:t>
            </w:r>
          </w:p>
          <w:p>
            <w:hyperlink w:history="true" r:id="Raba3485e3f6b44de">
              <w:r>
                <w:rPr>
                  <w:rStyle w:val="Hyperlink"/>
                </w:rPr>
                <w:t xml:space="preserve">Person-Indigenous status, code N</w:t>
              </w:r>
            </w:hyperlink>
          </w:p>
          <w:p>
            <w:r>
              <w:br/>
            </w:r>
            <w:r>
              <w:br/>
            </w:r>
          </w:p>
        </w:tc>
      </w:tr>
    </w:tbl>
    <w:p/>
    <w:tbl>
      <w:tblPr>
        <w:tblStyle w:val="TableGrid"/>
        <w:tblW w:w="0" w:type="auto"/>
      </w:tblPr>
    </w:tbl>
    <w:p>
      <w:r>
        <w:br/>
      </w:r>
    </w:p>
    <w:sectPr>
      <w:footerReference xmlns:r="http://schemas.openxmlformats.org/officeDocument/2006/relationships" w:type="default" r:id="Rcf06daba98704e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675163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f8f0e420934d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06daba98704e5e" /><Relationship Type="http://schemas.openxmlformats.org/officeDocument/2006/relationships/header" Target="/word/header1.xml" Id="R68c49bbaf1a444af" /><Relationship Type="http://schemas.openxmlformats.org/officeDocument/2006/relationships/settings" Target="/word/settings.xml" Id="R29fee4a575504ea5" /><Relationship Type="http://schemas.openxmlformats.org/officeDocument/2006/relationships/styles" Target="/word/styles.xml" Id="Rbc546cc83e0b4db0" /><Relationship Type="http://schemas.openxmlformats.org/officeDocument/2006/relationships/numbering" Target="/word/numbering.xml" Id="R602607635f1a45cf" /><Relationship Type="http://schemas.openxmlformats.org/officeDocument/2006/relationships/hyperlink" Target="https://meteor-uat.aihw.gov.au/RegistrationAuthority/5" TargetMode="External" Id="Rfda962802f024ae6" /><Relationship Type="http://schemas.openxmlformats.org/officeDocument/2006/relationships/hyperlink" Target="https://meteor-uat.aihw.gov.au/content/269618" TargetMode="External" Id="R5a6bd6d69fe94d4b" /><Relationship Type="http://schemas.openxmlformats.org/officeDocument/2006/relationships/hyperlink" Target="https://meteor-uat.aihw.gov.au/content/562177" TargetMode="External" Id="R0fc8e2ddc76e42f5" /><Relationship Type="http://schemas.openxmlformats.org/officeDocument/2006/relationships/hyperlink" Target="https://meteor-uat.aihw.gov.au/content/602543" TargetMode="External" Id="R2191abe8e0304275" /><Relationship Type="http://schemas.openxmlformats.org/officeDocument/2006/relationships/hyperlink" Target="https://meteor-uat.aihw.gov.au/content/562180" TargetMode="External" Id="Rc41273eae8e74263" /><Relationship Type="http://schemas.openxmlformats.org/officeDocument/2006/relationships/hyperlink" Target="https://meteor-uat.aihw.gov.au/RegistrationAuthority/5" TargetMode="External" Id="R3004fc0f7467443e" /><Relationship Type="http://schemas.openxmlformats.org/officeDocument/2006/relationships/hyperlink" Target="https://meteor-uat.aihw.gov.au/content/648949" TargetMode="External" Id="Rd1a3a0850f0a4394" /><Relationship Type="http://schemas.openxmlformats.org/officeDocument/2006/relationships/hyperlink" Target="https://meteor-uat.aihw.gov.au/RegistrationAuthority/5" TargetMode="External" Id="R756b5b0c00ea4085" /><Relationship Type="http://schemas.openxmlformats.org/officeDocument/2006/relationships/hyperlink" Target="https://meteor-uat.aihw.gov.au/content/650086" TargetMode="External" Id="R9ed70db695b84860" /><Relationship Type="http://schemas.openxmlformats.org/officeDocument/2006/relationships/hyperlink" Target="https://meteor-uat.aihw.gov.au/content/602543" TargetMode="External" Id="Raba3485e3f6b44de" /></Relationships>
</file>

<file path=word/_rels/header1.xml.rels>&#65279;<?xml version="1.0" encoding="utf-8"?><Relationships xmlns="http://schemas.openxmlformats.org/package/2006/relationships"><Relationship Type="http://schemas.openxmlformats.org/officeDocument/2006/relationships/image" Target="/media/image.png" Id="R94f8f0e420934d52" /></Relationships>
</file>