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98fae65cd034534"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04-Levels of risky alcohol consumption, 2018</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04-Levels of risky alcohol consumption, 2018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04-Levels of risky alcohol consumption, 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668670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079c5cfb8334fa8">
              <w:r>
                <w:rPr>
                  <w:rStyle w:val="Hyperlink"/>
                  <w:color w:val="244061"/>
                </w:rPr>
                <w:t xml:space="preserve">Indigenous</w:t>
              </w:r>
            </w:hyperlink>
            <w:r>
              <w:rPr>
                <w:rStyle w:val="row-content"/>
                <w:color w:val="244061"/>
              </w:rPr>
              <w:t xml:space="preserve">, Superseded 31/07/2018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Australians who consume alcohol at risky/high risk levels, by 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Excessive alcohol consumption is a major risk factor that contributes to ill health. Of those who drink, Indigenous Australians are more likely to consume alcohol at risky/high risk levels. Reducing the rate at which Indigenous Australians drink at hazardous levels will assist in closing the gap in life expectancy.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c755ab4210b74573">
              <w:r>
                <w:rPr>
                  <w:rStyle w:val="Hyperlink"/>
                </w:rPr>
                <w:t xml:space="preserve">National Indigenous Reform Agreement (2018)</w:t>
              </w:r>
            </w:hyperlink>
          </w:p>
          <w:p>
            <w:pPr>
              <w:pStyle w:val="registration-status"/>
              <w:spacing w:before="0" w:after="0"/>
            </w:pPr>
            <w:hyperlink w:history="true" r:id="Ra2c4903577b9460f">
              <w:r>
                <w:rPr>
                  <w:rStyle w:val="Hyperlink"/>
                  <w:color w:val="244061"/>
                </w:rPr>
                <w:t xml:space="preserve">Indigenous</w:t>
              </w:r>
            </w:hyperlink>
            <w:r>
              <w:rPr>
                <w:rStyle w:val="row-content"/>
                <w:color w:val="244061"/>
              </w:rPr>
              <w:t xml:space="preserve">, Superseded 31/07/2018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77f77377fb8e4c4d">
              <w:r>
                <w:rPr>
                  <w:rStyle w:val="Hyperlink"/>
                </w:rPr>
                <w:t xml:space="preserve">Indigenous people remain healthy and free of preventable disease</w:t>
              </w:r>
            </w:hyperlink>
          </w:p>
          <w:p>
            <w:pPr>
              <w:pStyle w:val="registration-status"/>
              <w:spacing w:before="0" w:after="0"/>
            </w:pPr>
            <w:hyperlink w:history="true" r:id="R6b604074a7c04c5b">
              <w:r>
                <w:rPr>
                  <w:rStyle w:val="Hyperlink"/>
                  <w:color w:val="244061"/>
                </w:rPr>
                <w:t xml:space="preserve">Indigenous</w:t>
              </w:r>
            </w:hyperlink>
            <w:r>
              <w:rPr>
                <w:rStyle w:val="row-content"/>
                <w:color w:val="244061"/>
              </w:rPr>
              <w:t xml:space="preserve">, Standard 21/07/2010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4715fe0f17ed42e1">
              <w:r>
                <w:rPr>
                  <w:rStyle w:val="Hyperlink"/>
                </w:rPr>
                <w:t xml:space="preserve">National Indigenous Reform Agreement: PI 04-Levels of risky alcohol consumption, 2018; Quality Statement</w:t>
              </w:r>
            </w:hyperlink>
          </w:p>
          <w:p>
            <w:pPr>
              <w:pStyle w:val="registration-status"/>
              <w:spacing w:before="0" w:after="0"/>
            </w:pPr>
            <w:hyperlink w:history="true" r:id="Rcc5381003ff34336">
              <w:r>
                <w:rPr>
                  <w:rStyle w:val="Hyperlink"/>
                  <w:color w:val="244061"/>
                </w:rPr>
                <w:t xml:space="preserve">Indigenous</w:t>
              </w:r>
            </w:hyperlink>
            <w:r>
              <w:rPr>
                <w:rStyle w:val="row-content"/>
                <w:color w:val="244061"/>
              </w:rPr>
              <w:t xml:space="preserve">, Superseded 07/02/2019</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18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Crude rates are calculated for Indigenous Australians.</w:t>
            </w:r>
          </w:p>
          <w:p>
            <w:pPr>
              <w:spacing w:after="160"/>
            </w:pPr>
            <w:r>
              <w:rPr>
                <w:rStyle w:val="row-content-rich-text"/>
              </w:rPr>
              <w:t xml:space="preserve">Age-standardised rates are calculated for Indigenous and non-Indigenous Australians.</w:t>
            </w:r>
          </w:p>
          <w:p>
            <w:pPr>
              <w:spacing w:after="160"/>
            </w:pPr>
            <w:r>
              <w:rPr>
                <w:rStyle w:val="row-content-rich-text"/>
              </w:rPr>
              <w:t xml:space="preserve">95% confidence intervals (CI) and relative standard errors are calculated for crude and age-standardised rates.</w:t>
            </w:r>
          </w:p>
          <w:p>
            <w:pPr>
              <w:spacing w:after="160"/>
            </w:pPr>
            <w:r>
              <w:rPr>
                <w:rStyle w:val="row-content-rich-text"/>
              </w:rPr>
              <w:t xml:space="preserve">Rate ratios and rate differences are calculated for comparisons between Indigenous and non-Indigenous Australians (using age-standardised rates).</w:t>
            </w:r>
          </w:p>
          <w:p>
            <w:pPr/>
            <w:r>
              <w:rPr>
                <w:rStyle w:val="row-content-rich-text"/>
              </w:rPr>
              <w:t xml:space="preserve">Presentation: percentage, rate per 100 persons, rate ratios, rate differences, relative standard errors and 95% CIs.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Crude rate:</w:t>
            </w:r>
            <w:r>
              <w:rPr>
                <w:rStyle w:val="row-content-rich-text"/>
              </w:rPr>
              <w:t xml:space="preserve"> 100 x (Numerator ÷ Denominator).</w:t>
            </w:r>
          </w:p>
          <w:p>
            <w:hyperlink w:tooltip="A method of adjusting the crude rate to eliminate the effect of differences in population age structures when comparing crude rates for different periods of time, different geographic areas and/or different population sub-groups (e.g. between one year ..." w:history="true" r:id="R6186ce9e5add4f5c">
              <w:r>
                <w:rPr>
                  <w:rStyle w:val="Hyperlink"/>
                  <w:b/>
                </w:rPr>
                <w:t xml:space="preserve">Age-standardised rate</w:t>
              </w:r>
            </w:hyperlink>
            <w:r>
              <w:rPr>
                <w:rStyle w:val="row-content-rich-text"/>
              </w:rPr>
              <w:t xml:space="preserve">: calculated using the direct method, with the Australian standard population as at 30 June 2001 as the standard. Ten-year age groups are used up to 55 and over to be consistent with estimates published by the Australian Bureau of Statistics (ABS). For this indicator, the age groups used are: 18–24; 25–34; 35–44; 45–54; 55 and over.</w:t>
            </w:r>
          </w:p>
          <w:p>
            <w:pPr>
              <w:spacing w:after="160"/>
            </w:pPr>
            <w:r>
              <w:rPr>
                <w:rStyle w:val="row-content-rich-text"/>
                <w:b/>
              </w:rPr>
              <w:t xml:space="preserve">Rate ratio:</w:t>
            </w:r>
            <w:r>
              <w:rPr>
                <w:rStyle w:val="row-content-rich-text"/>
              </w:rPr>
              <w:t xml:space="preserve"> Indigenous age-standardised rate divided by non-Indigenous age-standardised rate.</w:t>
            </w:r>
          </w:p>
          <w:p>
            <w:pPr/>
            <w:r>
              <w:rPr>
                <w:rStyle w:val="row-content-rich-text"/>
                <w:b/>
              </w:rPr>
              <w:t xml:space="preserve">Rate difference:</w:t>
            </w:r>
            <w:r>
              <w:rPr>
                <w:rStyle w:val="row-content-rich-text"/>
              </w:rPr>
              <w:t xml:space="preserve"> Indigenous age-standardised rate minus non-Indigenous age-standardised 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People aged 18 and over assessed as having engaged in risky or high risk alcohol consumption.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1c47b97218304a57">
              <w:r>
                <w:rPr>
                  <w:rStyle w:val="Hyperlink"/>
                </w:rPr>
                <w:t xml:space="preserve">ABS Australian Health Survey (AHS), 2011–13 (2011–12 National Health Survey component)</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Person—alcohol consumption amount (self-reported)</w:t>
            </w:r>
          </w:p>
          <w:p>
            <w:r>
              <w:rPr>
                <w:rStyle w:val="row-content"/>
                <w:b/>
              </w:rPr>
              <w:t xml:space="preserve">Data Source</w:t>
            </w:r>
          </w:p>
          <w:p>
            <w:hyperlink w:history="true" r:id="R1b11836642fe4f3e">
              <w:r>
                <w:rPr>
                  <w:rStyle w:val="Hyperlink"/>
                </w:rPr>
                <w:t xml:space="preserve">ABS Australian Health Survey (AHS), 2011–13 (2011–12 National Health Survey component)</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Person—alcohol consumption frequency (self-reported)</w:t>
            </w:r>
          </w:p>
          <w:p>
            <w:r>
              <w:rPr>
                <w:rStyle w:val="row-content"/>
                <w:b/>
              </w:rPr>
              <w:t xml:space="preserve">Data Source</w:t>
            </w:r>
          </w:p>
          <w:p>
            <w:hyperlink w:history="true" r:id="Rb8a9b4fdbdb44e72">
              <w:r>
                <w:rPr>
                  <w:rStyle w:val="Hyperlink"/>
                </w:rPr>
                <w:t xml:space="preserve">ABS Australian Health Survey (AHS), 2011–13 (2011–12 National Health Survey component)</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43508b1d44474295">
              <w:r>
                <w:rPr>
                  <w:rStyle w:val="Hyperlink"/>
                </w:rPr>
                <w:t xml:space="preserve">ABS Australian Aboriginal and Torres Strait Islander Health Survey (AATSIHS), 2012–13 (National Aboriginal and Torres Strait Islander Health Survey component)</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Person—alcohol consumption amount (self-reported)</w:t>
            </w:r>
          </w:p>
          <w:p>
            <w:r>
              <w:rPr>
                <w:rStyle w:val="row-content"/>
                <w:b/>
              </w:rPr>
              <w:t xml:space="preserve">Data Source</w:t>
            </w:r>
          </w:p>
          <w:p>
            <w:hyperlink w:history="true" r:id="R8f91a7f172f34fa6">
              <w:r>
                <w:rPr>
                  <w:rStyle w:val="Hyperlink"/>
                </w:rPr>
                <w:t xml:space="preserve">ABS Australian Aboriginal and Torres Strait Islander Health Survey (AATSIHS), 2012–13 (National Aboriginal and Torres Strait Islander Health Survey component)</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Person—alcohol consumption frequency (self-reported)</w:t>
            </w:r>
          </w:p>
          <w:p>
            <w:r>
              <w:rPr>
                <w:rStyle w:val="row-content"/>
                <w:b/>
              </w:rPr>
              <w:t xml:space="preserve">Data Source</w:t>
            </w:r>
          </w:p>
          <w:p>
            <w:hyperlink w:history="true" r:id="Rd458361d28b14b90">
              <w:r>
                <w:rPr>
                  <w:rStyle w:val="Hyperlink"/>
                </w:rPr>
                <w:t xml:space="preserve">ABS Australian Aboriginal and Torres Strait Islander Health Survey (AATSIHS), 2012–13 (National Aboriginal and Torres Strait Islander Health Survey component)</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populations (Indigenous and non-Indigenous) aged 18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c1d58d0a5467457b">
              <w:r>
                <w:rPr>
                  <w:rStyle w:val="Hyperlink"/>
                </w:rPr>
                <w:t xml:space="preserve">ABS Australian Health Survey (AHS), 2011–13 (2011–12 National Health Survey component)</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3ef3de19425f4c81">
              <w:r>
                <w:rPr>
                  <w:rStyle w:val="Hyperlink"/>
                </w:rPr>
                <w:t xml:space="preserve">ABS Australian Aboriginal and Torres Strait Islander Health Survey (AATSIHS), 2012–13 (National Aboriginal and Torres Strait Islander Health Survey component)</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state/territory, remoteness area: by alcohol risk level for Indigenous Australians (crude rates).</w:t>
            </w:r>
          </w:p>
          <w:p>
            <w:pPr/>
            <w:r>
              <w:rPr>
                <w:rStyle w:val="row-content-rich-text"/>
              </w:rPr>
              <w:t xml:space="preserve">National, state/territory, remoteness area: by alcohol risk level, by Indigenous status (age-standardised rates).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Person—area of usual residence, statistical area level 1 (SA1) (ASGS 2011)</w:t>
            </w:r>
          </w:p>
          <w:p>
            <w:r>
              <w:rPr>
                <w:rStyle w:val="row-content"/>
                <w:b/>
              </w:rPr>
              <w:t xml:space="preserve">Data Source</w:t>
            </w:r>
          </w:p>
          <w:p>
            <w:hyperlink w:history="true" r:id="R9495aa2bdc924da3">
              <w:r>
                <w:rPr>
                  <w:rStyle w:val="Hyperlink"/>
                </w:rPr>
                <w:t xml:space="preserve">ABS Australian Health Survey (AHS), 2011–13 (2011–12 National Health Survey component)</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Person—Indigenous status</w:t>
            </w:r>
          </w:p>
          <w:p>
            <w:r>
              <w:rPr>
                <w:rStyle w:val="row-content"/>
                <w:b/>
              </w:rPr>
              <w:t xml:space="preserve">Data Source</w:t>
            </w:r>
          </w:p>
          <w:p>
            <w:hyperlink w:history="true" r:id="R7d3f7a5808ed405a">
              <w:r>
                <w:rPr>
                  <w:rStyle w:val="Hyperlink"/>
                </w:rPr>
                <w:t xml:space="preserve">ABS Australian Health Survey (AHS), 2011–13 (2011–12 National Health Survey component)</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Person—area of usual residence, statistical area level 1 (SA1) (ASGS 2011)</w:t>
            </w:r>
          </w:p>
          <w:p>
            <w:r>
              <w:rPr>
                <w:rStyle w:val="row-content"/>
                <w:b/>
              </w:rPr>
              <w:t xml:space="preserve">Data Source</w:t>
            </w:r>
          </w:p>
          <w:p>
            <w:hyperlink w:history="true" r:id="R4171b579e31b4406">
              <w:r>
                <w:rPr>
                  <w:rStyle w:val="Hyperlink"/>
                </w:rPr>
                <w:t xml:space="preserve">ABS Australian Aboriginal and Torres Strait Islander Health Survey (AATSIHS), 2012–13 (National Aboriginal and Torres Strait Islander Health Survey component)</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There are no new data available for this cycle of reporting.</w:t>
            </w:r>
          </w:p>
          <w:p>
            <w:pPr>
              <w:spacing w:after="160"/>
            </w:pPr>
            <w:r>
              <w:rPr>
                <w:rStyle w:val="row-content-rich-text"/>
              </w:rPr>
              <w:t xml:space="preserve">Most recent data available are for the 2012–13 National Aboriginal and Torres Strait Islander Health Survey (NATSIHS) component of the AATSIHS for Indigenous data and the 2011–12 National Health Survey (NHS) component of the AHS for non-Indigenous data.</w:t>
            </w:r>
          </w:p>
          <w:p>
            <w:pPr>
              <w:spacing w:after="160"/>
            </w:pPr>
            <w:r>
              <w:rPr>
                <w:rStyle w:val="row-content-rich-text"/>
              </w:rPr>
              <w:t xml:space="preserve">Risky and high risk alcohol consumption based on estimated average daily consumption.</w:t>
            </w:r>
          </w:p>
          <w:p>
            <w:pPr>
              <w:spacing w:after="160"/>
            </w:pPr>
            <w:r>
              <w:rPr>
                <w:rStyle w:val="row-content-rich-text"/>
              </w:rPr>
              <w:t xml:space="preserve">This indicator meets two Council of Australian Governments (COAG) specific outcome areas: Indigenous people remain healthy and free of preventable disease, and alcohol and other drug abuse among Indigenous people is overcome.</w:t>
            </w:r>
          </w:p>
          <w:p>
            <w:pPr>
              <w:spacing w:after="160"/>
            </w:pPr>
            <w:r>
              <w:rPr>
                <w:rStyle w:val="row-content-rich-text"/>
              </w:rPr>
              <w:t xml:space="preserve">At this stage, data are available for persons aged 15 and over only. Data from the AATSIHS are available for very remote areas. The AHS does not cover very remote areas.</w:t>
            </w:r>
          </w:p>
          <w:p>
            <w:pPr>
              <w:spacing w:after="160"/>
            </w:pPr>
            <w:r>
              <w:rPr>
                <w:rStyle w:val="row-content-rich-text"/>
              </w:rPr>
              <w:t xml:space="preserve">Baseline year for the COAG National Indigenous Reform Agreement target (Close the life expectancy gap within a generation) is 2006 using the 3-year average of 2005–2007; baseline for this indicator is the financial year 2004–05; target year is 2031.</w:t>
            </w:r>
          </w:p>
          <w:p>
            <w:pPr>
              <w:spacing w:after="160"/>
            </w:pPr>
            <w:r>
              <w:rPr>
                <w:rStyle w:val="row-content-rich-text"/>
              </w:rPr>
              <w:t xml:space="preserve">Risky or high risk alcohol consumption is measured by the concept of ‘Lifetime risk of alcohol harm’ which is currently based on the 2009 National Health and Medical Research Council (NHMRC) guidelines. According to these guidelines, the consumption of 2 or more standard drinks on any day increases the lifetime risk of harm for both men and women. This has been operationalised as: for both males and females, an average of more than 2 standard drinks per day in the last week.</w:t>
            </w:r>
          </w:p>
          <w:p>
            <w:pPr>
              <w:spacing w:after="160"/>
            </w:pPr>
            <w:r>
              <w:rPr>
                <w:rStyle w:val="row-content-rich-text"/>
              </w:rPr>
              <w:t xml:space="preserve">Data for risky/high risk alcohol consumption based on the 2009 NHMRC Guidelines are not comparable with data based on the 2001 NHMRC Guidelines.</w:t>
            </w:r>
          </w:p>
          <w:p>
            <w:pPr/>
            <w:r>
              <w:rPr>
                <w:rStyle w:val="row-content-rich-text"/>
              </w:rPr>
              <w:t xml:space="preserve">The term ‘Aboriginal and Torres Strait Islander people’ is preferred when referring to the separate Indigenous peoples of Australia. However, the term ‘Indigenous’ is used interchangeably with ‘Aboriginal and Torres Strait Islander’ in this indicator set to assist readability.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784dd3fc094b487b">
              <w:r>
                <w:rPr>
                  <w:rStyle w:val="Hyperlink"/>
                </w:rPr>
                <w:t xml:space="preserve">Health Behaviours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048147f3095d43e6">
              <w:r>
                <w:rPr>
                  <w:rStyle w:val="Hyperlink"/>
                </w:rPr>
                <w:t xml:space="preserve">ABS Australian Health Survey (AHS), 2011–13 (2011–12 National Health Survey component)</w:t>
              </w:r>
            </w:hyperlink>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7f08b2d3f0cb41a6">
              <w:r>
                <w:rPr>
                  <w:rStyle w:val="Hyperlink"/>
                </w:rPr>
                <w:t xml:space="preserve">ABS Australian Aboriginal and Torres Strait Islander Health Survey (AATSIHS), 2012–13 (National Aboriginal and Torres Strait Islander Health Survey component)</w:t>
              </w:r>
            </w:hyperlink>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Indigenous Reform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0a45754f342440a7">
              <w:r>
                <w:rPr>
                  <w:rStyle w:val="Hyperlink"/>
                </w:rPr>
                <w:t xml:space="preserve">National Indigenous Reform Agreement Performance Information Management Group</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NHMRC (National Health and Medical Research Council) 2001. Australian alcohol guidelines: health risks and benefits. Canberra: NHMRC.</w:t>
            </w:r>
          </w:p>
          <w:p>
            <w:pPr/>
            <w:r>
              <w:rPr>
                <w:rStyle w:val="row-content-rich-text"/>
              </w:rPr>
              <w:t xml:space="preserve">NHMRC 2009. Australian guidelines to reduce health risks from drinking alcohol. Canberra: NHMRC.</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6da29378dd14fab">
              <w:r>
                <w:rPr>
                  <w:rStyle w:val="Hyperlink"/>
                </w:rPr>
                <w:t xml:space="preserve">National Indigenous Reform Agreement: PI 04—Levels of risky alcohol consumption, 2017</w:t>
              </w:r>
            </w:hyperlink>
          </w:p>
          <w:p>
            <w:pPr>
              <w:pStyle w:val="registration-status"/>
              <w:spacing w:before="0" w:after="0"/>
            </w:pPr>
            <w:hyperlink w:history="true" r:id="Rb3dbec8e46334baa">
              <w:r>
                <w:rPr>
                  <w:rStyle w:val="Hyperlink"/>
                  <w:color w:val="244061"/>
                </w:rPr>
                <w:t xml:space="preserve">Indigenous</w:t>
              </w:r>
            </w:hyperlink>
            <w:r>
              <w:rPr>
                <w:rStyle w:val="row-content"/>
                <w:color w:val="244061"/>
              </w:rPr>
              <w:t xml:space="preserve">, Superseded 06/06/2017</w:t>
            </w:r>
          </w:p>
          <w:p>
            <w:r>
              <w:br/>
            </w:r>
            <w:r>
              <w:rPr>
                <w:rStyle w:val="row-content"/>
              </w:rPr>
              <w:t xml:space="preserve">Has been superseded by </w:t>
            </w:r>
            <w:hyperlink w:history="true" r:id="R27435c7a99b44c41">
              <w:r>
                <w:rPr>
                  <w:rStyle w:val="Hyperlink"/>
                </w:rPr>
                <w:t xml:space="preserve">National Indigenous Reform Agreement: PI 04-Levels of risky alcohol consumption, 2019</w:t>
              </w:r>
            </w:hyperlink>
          </w:p>
          <w:p>
            <w:pPr>
              <w:pStyle w:val="registration-status"/>
              <w:spacing w:before="0" w:after="0"/>
            </w:pPr>
            <w:hyperlink w:history="true" r:id="R5b256004d0b24468">
              <w:r>
                <w:rPr>
                  <w:rStyle w:val="Hyperlink"/>
                  <w:color w:val="244061"/>
                </w:rPr>
                <w:t xml:space="preserve">Indigenous</w:t>
              </w:r>
            </w:hyperlink>
            <w:r>
              <w:rPr>
                <w:rStyle w:val="row-content"/>
                <w:color w:val="244061"/>
              </w:rPr>
              <w:t xml:space="preserve">, Superseded 23/08/2019</w:t>
            </w:r>
          </w:p>
          <w:p>
            <w:r>
              <w:br/>
            </w:r>
            <w:r>
              <w:rPr>
                <w:rStyle w:val="row-content"/>
              </w:rPr>
              <w:t xml:space="preserve">See also </w:t>
            </w:r>
            <w:hyperlink w:history="true" r:id="Rc46438aa0f434fb6">
              <w:r>
                <w:rPr>
                  <w:rStyle w:val="Hyperlink"/>
                </w:rPr>
                <w:t xml:space="preserve">National Healthcare Agreement: PI 05–Levels of risky alcohol consumption, 2017</w:t>
              </w:r>
            </w:hyperlink>
          </w:p>
          <w:p>
            <w:pPr>
              <w:pStyle w:val="registration-status"/>
              <w:spacing w:before="0" w:after="0"/>
            </w:pPr>
            <w:hyperlink w:history="true" r:id="Ra57d89a01ba24d46">
              <w:r>
                <w:rPr>
                  <w:rStyle w:val="Hyperlink"/>
                  <w:color w:val="244061"/>
                </w:rPr>
                <w:t xml:space="preserve">Health!</w:t>
              </w:r>
            </w:hyperlink>
            <w:r>
              <w:rPr>
                <w:rStyle w:val="row-content"/>
                <w:color w:val="244061"/>
              </w:rPr>
              <w:t xml:space="preserve">, Superseded 30/01/2018</w:t>
            </w:r>
          </w:p>
          <w:p>
            <w:r>
              <w:br/>
            </w:r>
          </w:p>
        </w:tc>
      </w:tr>
    </w:tbl>
    <w:p>
      <w:r>
        <w:br/>
      </w:r>
    </w:p>
    <w:sectPr>
      <w:footerReference xmlns:r="http://schemas.openxmlformats.org/officeDocument/2006/relationships" w:type="default" r:id="R54dac7d5aedb41a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668670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cff7c4fb49a4df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4dac7d5aedb41a6" /><Relationship Type="http://schemas.openxmlformats.org/officeDocument/2006/relationships/header" Target="/word/header1.xml" Id="R62473cad389740e8" /><Relationship Type="http://schemas.openxmlformats.org/officeDocument/2006/relationships/settings" Target="/word/settings.xml" Id="Radab5f2891ab4141" /><Relationship Type="http://schemas.openxmlformats.org/officeDocument/2006/relationships/styles" Target="/word/styles.xml" Id="R6b83e21ba62342e8" /><Relationship Type="http://schemas.openxmlformats.org/officeDocument/2006/relationships/hyperlink" Target="https://meteor-uat.aihw.gov.au/RegistrationAuthority/9" TargetMode="External" Id="R5079c5cfb8334fa8" /><Relationship Type="http://schemas.openxmlformats.org/officeDocument/2006/relationships/hyperlink" Target="https://meteor-uat.aihw.gov.au/content/668643" TargetMode="External" Id="Rc755ab4210b74573" /><Relationship Type="http://schemas.openxmlformats.org/officeDocument/2006/relationships/hyperlink" Target="https://meteor-uat.aihw.gov.au/RegistrationAuthority/9" TargetMode="External" Id="Ra2c4903577b9460f" /><Relationship Type="http://schemas.openxmlformats.org/officeDocument/2006/relationships/hyperlink" Target="https://meteor-uat.aihw.gov.au/content/396152" TargetMode="External" Id="R77f77377fb8e4c4d" /><Relationship Type="http://schemas.openxmlformats.org/officeDocument/2006/relationships/hyperlink" Target="https://meteor-uat.aihw.gov.au/RegistrationAuthority/9" TargetMode="External" Id="R6b604074a7c04c5b" /><Relationship Type="http://schemas.openxmlformats.org/officeDocument/2006/relationships/hyperlink" Target="https://meteor-uat.aihw.gov.au/content/689656" TargetMode="External" Id="R4715fe0f17ed42e1" /><Relationship Type="http://schemas.openxmlformats.org/officeDocument/2006/relationships/hyperlink" Target="https://meteor-uat.aihw.gov.au/RegistrationAuthority/9" TargetMode="External" Id="Rcc5381003ff34336" /><Relationship Type="http://schemas.openxmlformats.org/officeDocument/2006/relationships/hyperlink" Target="https://meteor-uat.aihw.gov.au/content/327276" TargetMode="External" Id="R6186ce9e5add4f5c" /><Relationship Type="http://schemas.openxmlformats.org/officeDocument/2006/relationships/hyperlink" Target="https://meteor-uat.aihw.gov.au/content/585479" TargetMode="External" Id="R1c47b97218304a57" /><Relationship Type="http://schemas.openxmlformats.org/officeDocument/2006/relationships/hyperlink" Target="https://meteor-uat.aihw.gov.au/content/585479" TargetMode="External" Id="R1b11836642fe4f3e" /><Relationship Type="http://schemas.openxmlformats.org/officeDocument/2006/relationships/hyperlink" Target="https://meteor-uat.aihw.gov.au/content/585479" TargetMode="External" Id="Rb8a9b4fdbdb44e72" /><Relationship Type="http://schemas.openxmlformats.org/officeDocument/2006/relationships/hyperlink" Target="https://meteor-uat.aihw.gov.au/content/585489" TargetMode="External" Id="R43508b1d44474295" /><Relationship Type="http://schemas.openxmlformats.org/officeDocument/2006/relationships/hyperlink" Target="https://meteor-uat.aihw.gov.au/content/585489" TargetMode="External" Id="R8f91a7f172f34fa6" /><Relationship Type="http://schemas.openxmlformats.org/officeDocument/2006/relationships/hyperlink" Target="https://meteor-uat.aihw.gov.au/content/585489" TargetMode="External" Id="Rd458361d28b14b90" /><Relationship Type="http://schemas.openxmlformats.org/officeDocument/2006/relationships/hyperlink" Target="https://meteor-uat.aihw.gov.au/content/585479" TargetMode="External" Id="Rc1d58d0a5467457b" /><Relationship Type="http://schemas.openxmlformats.org/officeDocument/2006/relationships/hyperlink" Target="https://meteor-uat.aihw.gov.au/content/585489" TargetMode="External" Id="R3ef3de19425f4c81" /><Relationship Type="http://schemas.openxmlformats.org/officeDocument/2006/relationships/hyperlink" Target="https://meteor-uat.aihw.gov.au/content/585479" TargetMode="External" Id="R9495aa2bdc924da3" /><Relationship Type="http://schemas.openxmlformats.org/officeDocument/2006/relationships/hyperlink" Target="https://meteor-uat.aihw.gov.au/content/585479" TargetMode="External" Id="R7d3f7a5808ed405a" /><Relationship Type="http://schemas.openxmlformats.org/officeDocument/2006/relationships/hyperlink" Target="https://meteor-uat.aihw.gov.au/content/585489" TargetMode="External" Id="R4171b579e31b4406" /><Relationship Type="http://schemas.openxmlformats.org/officeDocument/2006/relationships/hyperlink" Target="https://meteor-uat.aihw.gov.au/content/410676" TargetMode="External" Id="R784dd3fc094b487b" /><Relationship Type="http://schemas.openxmlformats.org/officeDocument/2006/relationships/hyperlink" Target="https://meteor-uat.aihw.gov.au/content/585479" TargetMode="External" Id="R048147f3095d43e6" /><Relationship Type="http://schemas.openxmlformats.org/officeDocument/2006/relationships/hyperlink" Target="https://meteor-uat.aihw.gov.au/content/585489" TargetMode="External" Id="R7f08b2d3f0cb41a6" /><Relationship Type="http://schemas.openxmlformats.org/officeDocument/2006/relationships/hyperlink" Target="https://meteor-uat.aihw.gov.au/content/410271" TargetMode="External" Id="R0a45754f342440a7" /><Relationship Type="http://schemas.openxmlformats.org/officeDocument/2006/relationships/hyperlink" Target="https://meteor-uat.aihw.gov.au/content/645389" TargetMode="External" Id="Rd6da29378dd14fab" /><Relationship Type="http://schemas.openxmlformats.org/officeDocument/2006/relationships/hyperlink" Target="https://meteor-uat.aihw.gov.au/RegistrationAuthority/9" TargetMode="External" Id="Rb3dbec8e46334baa" /><Relationship Type="http://schemas.openxmlformats.org/officeDocument/2006/relationships/hyperlink" Target="https://meteor-uat.aihw.gov.au/content/697285" TargetMode="External" Id="R27435c7a99b44c41" /><Relationship Type="http://schemas.openxmlformats.org/officeDocument/2006/relationships/hyperlink" Target="https://meteor-uat.aihw.gov.au/RegistrationAuthority/9" TargetMode="External" Id="R5b256004d0b24468" /><Relationship Type="http://schemas.openxmlformats.org/officeDocument/2006/relationships/hyperlink" Target="https://meteor-uat.aihw.gov.au/content/629999" TargetMode="External" Id="Rc46438aa0f434fb6" /><Relationship Type="http://schemas.openxmlformats.org/officeDocument/2006/relationships/hyperlink" Target="https://meteor-uat.aihw.gov.au/RegistrationAuthority/14" TargetMode="External" Id="Ra57d89a01ba24d46" /></Relationships>
</file>

<file path=word/_rels/header1.xml.rels>&#65279;<?xml version="1.0" encoding="utf-8"?><Relationships xmlns="http://schemas.openxmlformats.org/package/2006/relationships"><Relationship Type="http://schemas.openxmlformats.org/officeDocument/2006/relationships/image" Target="/media/image.png" Id="Rfcff7c4fb49a4dfe" /></Relationships>
</file>