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45fefce73427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f1a0913ba49b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f7bc103770534d2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 </w:t>
            </w:r>
            <w:hyperlink w:history="true" r:id="R7547643030d5481e">
              <w:r>
                <w:rPr>
                  <w:rStyle w:val="Hyperlink"/>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d9d510d1c07d475b">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process.</w:t>
            </w:r>
            <w:r>
              <w:br/>
            </w:r>
            <w:r>
              <w:br/>
            </w:r>
            <w:r>
              <w:rPr>
                <w:rStyle w:val="row-content-rich-text"/>
                <w:i/>
              </w:rPr>
              <w:t xml:space="preserve">Causes of Death, Australia, 2015 </w:t>
            </w:r>
            <w:r>
              <w:rPr>
                <w:rStyle w:val="row-content-rich-text"/>
              </w:rPr>
              <w:t xml:space="preserve">(ABS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Generally ERP data is not changed once it has been finalised unless there are compelling reasons to do so, as in June 2013 when data from September 1991 to June 2006 was revised (for more information on this recasting process, see Feature article 2: </w:t>
            </w:r>
            <w:hyperlink w:history="true" r:id="R9c12f7eca5da492a">
              <w:r>
                <w:rPr>
                  <w:rStyle w:val="Hyperlink"/>
                </w:rPr>
                <w:t xml:space="preserve">Recasting 20 years of ERP</w:t>
              </w:r>
            </w:hyperlink>
            <w:r>
              <w:rPr>
                <w:rStyle w:val="row-content-rich-text"/>
              </w:rPr>
              <w:t xml:space="preserve"> in the December quarter 2012 issue of Australian Demographic Statistics (ABS 2013).</w:t>
            </w:r>
          </w:p>
          <w:p>
            <w:pPr/>
            <w:r>
              <w:rPr>
                <w:rStyle w:val="row-content-rich-text"/>
              </w:rPr>
              <w:t xml:space="preserve">For further information on the ABS ERP, see the relevant </w:t>
            </w:r>
            <w:hyperlink w:history="true" r:id="Rb718c9dbb9b44c48">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new coding software, the ABS also implemented the most up to date versions of the ICD-10 when coding 2013, 2014 and 2015 data (using the 2013 and 2015 versions, respectively), and improved a number of coding practices to realign with international best practice. See </w:t>
            </w:r>
            <w:hyperlink w:history="true" r:id="Rda68024bf24e49b4">
              <w:r>
                <w:rPr>
                  <w:rStyle w:val="Hyperlink"/>
                </w:rPr>
                <w:t xml:space="preserve">ABS Implementation of the Iris Software: Understanding Coding and Process Improvements</w:t>
              </w:r>
            </w:hyperlink>
            <w:r>
              <w:rPr>
                <w:rStyle w:val="row-content-rich-text"/>
              </w:rPr>
              <w:t xml:space="preserve"> (Technical Note 1), in Causes </w:t>
            </w:r>
            <w:r>
              <w:rPr>
                <w:rStyle w:val="row-content-rich-text"/>
                <w:i/>
              </w:rPr>
              <w:t xml:space="preserve">of Death, Australia, 2013</w:t>
            </w:r>
            <w:r>
              <w:rPr>
                <w:rStyle w:val="row-content-rich-text"/>
              </w:rPr>
              <w:t xml:space="preserve"> (ABS 2015) for further details.</w:t>
            </w:r>
          </w:p>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ABS 2014b).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0363f1bbf2674e68">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2ef923b3d0744aea">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is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2012) and 2010 data reported for the Council of Australian Governments (COAG), as this adjustment was not applied in the publication.  For further details see Technical Note: Registration of outstanding deaths, Queensland 2010, from </w:t>
            </w:r>
            <w:r>
              <w:rPr>
                <w:rStyle w:val="row-content-rich-text"/>
                <w:i/>
              </w:rPr>
              <w:t xml:space="preserve">Deaths, Australia, 2010 </w:t>
            </w:r>
            <w:r>
              <w:rPr>
                <w:rStyle w:val="row-content-rich-text"/>
              </w:rPr>
              <w:t xml:space="preserve">publication (ABS 2011) and Explanatory Note 103 in the </w:t>
            </w:r>
            <w:r>
              <w:rPr>
                <w:rStyle w:val="row-content-rich-text"/>
                <w:i/>
              </w:rPr>
              <w:t xml:space="preserve">Causes of Death, Australia, 2010 </w:t>
            </w:r>
            <w:r>
              <w:rPr>
                <w:rStyle w:val="row-content-rich-text"/>
              </w:rPr>
              <w:t xml:space="preserve">publication (ABS 2012).</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Australian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2011) publication on 24 May 2012, and are included in this round of COAG reporting. In addition to that, 3 deaths in Western Australian for 2009 which were wrongly coded as deaths of Indigenous people have been corrected as deaths of non-indigenous people in previous rounds of COAG reporting.</w:t>
            </w:r>
          </w:p>
          <w:p>
            <w:pPr>
              <w:spacing w:after="160"/>
            </w:pPr>
            <w:r>
              <w:rPr>
                <w:rStyle w:val="row-content-rich-text"/>
              </w:rPr>
              <w:t xml:space="preserve">All coroner-certified deaths registered after 1 January 2006 are now subject to a revisions process. In this round of COAG reporting, 2010, 2011 and 2012 data are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6d5b28b4f96e4a62">
              <w:r>
                <w:rPr>
                  <w:rStyle w:val="Hyperlink"/>
                </w:rPr>
                <w:t xml:space="preserve">See 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Causes of Death Revisions, 2012 and 2013 (Technical Note) in </w:t>
            </w:r>
            <w:r>
              <w:rPr>
                <w:rStyle w:val="row-content-rich-text"/>
                <w:i/>
              </w:rPr>
              <w:t xml:space="preserve">Causes of Death, Australia, 2014 </w:t>
            </w:r>
            <w:r>
              <w:rPr>
                <w:rStyle w:val="row-content-rich-text"/>
              </w:rPr>
              <w:t xml:space="preserve">(ABS 2016b).</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1999)</w:t>
            </w:r>
            <w:r>
              <w:rPr>
                <w:rStyle w:val="row-content-rich-text"/>
              </w:rPr>
              <w:t xml:space="preserve">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projections (see </w:t>
            </w:r>
            <w:r>
              <w:rPr>
                <w:rStyle w:val="row-content-rich-text"/>
                <w:i/>
              </w:rPr>
              <w:t xml:space="preserve">Estimates and Projections, Aboriginal and Torres Strait Islander Australians, 2001-2026 </w:t>
            </w:r>
            <w:r>
              <w:rPr>
                <w:rStyle w:val="row-content-rich-text"/>
              </w:rPr>
              <w:t xml:space="preserve">(ABS 2014a) from the </w:t>
            </w:r>
            <w:r>
              <w:rPr>
                <w:rStyle w:val="row-content-rich-text"/>
                <w:i/>
              </w:rPr>
              <w:t xml:space="preserve">2011 Census-based Estimated Resident Population </w:t>
            </w:r>
            <w:r>
              <w:rPr>
                <w:rStyle w:val="row-content-rich-text"/>
              </w:rPr>
              <w:t xml:space="preserve">(ABS 2016d).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spacing w:after="160"/>
            </w:pPr>
            <w:r>
              <w:rPr>
                <w:rStyle w:val="row-content-rich-text"/>
              </w:rPr>
              <w:t xml:space="preserve">ABS 2016d. Census-based Estimated Resident Population. ABS Cat. no. 3101.0.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cde4012b3349be">
              <w:r>
                <w:rPr>
                  <w:rStyle w:val="Hyperlink"/>
                </w:rPr>
                <w:t xml:space="preserve">National Indigenous Reform Agreement: PI 02—Mortality rate by leading causes, 2015, Quality Statement</w:t>
              </w:r>
            </w:hyperlink>
          </w:p>
          <w:p>
            <w:pPr>
              <w:pStyle w:val="registration-status"/>
              <w:spacing w:before="0" w:after="0"/>
            </w:pPr>
            <w:hyperlink w:history="true" r:id="R20361b8510d94901">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726fc0d2cbb841ba">
              <w:r>
                <w:rPr>
                  <w:rStyle w:val="Hyperlink"/>
                </w:rPr>
                <w:t xml:space="preserve">National Indigenous Reform Agreement: PI 02-Mortality rate by leading causes, 2018; Quality Statement</w:t>
              </w:r>
            </w:hyperlink>
          </w:p>
          <w:p>
            <w:pPr>
              <w:pStyle w:val="registration-status"/>
              <w:spacing w:before="0" w:after="0"/>
            </w:pPr>
            <w:hyperlink w:history="true" r:id="R1ac8bc7b127a40cc">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be1cd09927d4aae">
              <w:r>
                <w:rPr>
                  <w:rStyle w:val="Hyperlink"/>
                </w:rPr>
                <w:t xml:space="preserve">National Indigenous Reform Agreement: PI 02—Mortality rate by leading causes, 2017</w:t>
              </w:r>
            </w:hyperlink>
          </w:p>
          <w:p>
            <w:pPr>
              <w:pStyle w:val="registration-status"/>
              <w:spacing w:before="0" w:after="0"/>
            </w:pPr>
            <w:hyperlink w:history="true" r:id="Rbeda116f61a64b6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f5d8874510e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cdb8d81ee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d8874510e4abd" /><Relationship Type="http://schemas.openxmlformats.org/officeDocument/2006/relationships/header" Target="/word/header1.xml" Id="Rf2b4cc1f4a1d46bd" /><Relationship Type="http://schemas.openxmlformats.org/officeDocument/2006/relationships/settings" Target="/word/settings.xml" Id="Rd381eb5f33ed4801" /><Relationship Type="http://schemas.openxmlformats.org/officeDocument/2006/relationships/styles" Target="/word/styles.xml" Id="R466caa67c010440b" /><Relationship Type="http://schemas.openxmlformats.org/officeDocument/2006/relationships/hyperlink" Target="https://meteor-uat.aihw.gov.au/RegistrationAuthority/9" TargetMode="External" Id="R677f1a0913ba49b0" /><Relationship Type="http://schemas.openxmlformats.org/officeDocument/2006/relationships/hyperlink" Target="http://www.abs.gov.au/websitedbs/D3310114.nsf/4a256353001af3ed4b2562bb00121564/10ca14cb967e5b83ca2573ae00197b65!OpenDocument" TargetMode="External" Id="Rf7bc103770534d21" /><Relationship Type="http://schemas.openxmlformats.org/officeDocument/2006/relationships/hyperlink" Target="http://www.abs.gov.au/AUSSTATS/abs@.nsf/Latestproducts/3303.0Technical Note12015?opendocument&amp;tabname=Notes&amp;prodno=3303.0&amp;issue=2015&amp;num=&amp;view=" TargetMode="External" Id="R7547643030d5481e" /><Relationship Type="http://schemas.openxmlformats.org/officeDocument/2006/relationships/hyperlink" Target="http://www.abs.gov.au/AUSSTATS/abs@.nsf/Previousproducts/3303.0Technical Note32014?opendocument&amp;tabname=Notes&amp;prodno=3303.0&amp;issue=2014&amp;num=&amp;view=" TargetMode="External" Id="Rd9d510d1c07d475b" /><Relationship Type="http://schemas.openxmlformats.org/officeDocument/2006/relationships/hyperlink" Target="http://www.abs.gov.au/AUSSTATS/abs@.nsf/Previousproducts/3101.0Feature Article2Dec 2012?opendocument&amp;tabname=Summary&amp;prodno=3101.0&amp;issue=Dec 2012&amp;num=&amp;view=" TargetMode="External" Id="R9c12f7eca5da492a" /><Relationship Type="http://schemas.openxmlformats.org/officeDocument/2006/relationships/hyperlink" Target="http://www.abs.gov.au/AUSSTATS/abs@.nsf/Previousproducts/3101.0Quality Declaration0Dec 2012?opendocument&amp;tabname=Notes&amp;prodno=3101.0&amp;issue=Dec 2012&amp;num=&amp;view=" TargetMode="External" Id="Rb718c9dbb9b44c48" /><Relationship Type="http://schemas.openxmlformats.org/officeDocument/2006/relationships/hyperlink" Target="http://www.abs.gov.au/ausstats/abs@.nsf/Lookup/3303.0Technical+Note12013" TargetMode="External" Id="Rda68024bf24e49b4" /><Relationship Type="http://schemas.openxmlformats.org/officeDocument/2006/relationships/hyperlink" Target="http://www.abs.gov.au/ausstats/abs@.nsf/mf/3303.0" TargetMode="External" Id="R0363f1bbf2674e68" /><Relationship Type="http://schemas.openxmlformats.org/officeDocument/2006/relationships/hyperlink" Target="http://www.abs.gov.au/Ausstats/abs@.nsf/0/D4A300EE1E04AA43CA2576E800156A24?OpenDocument" TargetMode="External" Id="R2ef923b3d0744aea" /><Relationship Type="http://schemas.openxmlformats.org/officeDocument/2006/relationships/hyperlink" Target="http://www.abs.gov.au/AUSSTATS/abs@.nsf/Previousproducts/3303.0Technical Note32014?opendocument&amp;tabname=Notes&amp;prodno=3303.0&amp;issue=2014&amp;num=&amp;view=" TargetMode="External" Id="R6d5b28b4f96e4a62" /><Relationship Type="http://schemas.openxmlformats.org/officeDocument/2006/relationships/hyperlink" Target="https://meteor-uat.aihw.gov.au/content/593415" TargetMode="External" Id="R6fcde4012b3349be" /><Relationship Type="http://schemas.openxmlformats.org/officeDocument/2006/relationships/hyperlink" Target="https://meteor-uat.aihw.gov.au/RegistrationAuthority/9" TargetMode="External" Id="R20361b8510d94901" /><Relationship Type="http://schemas.openxmlformats.org/officeDocument/2006/relationships/hyperlink" Target="https://meteor-uat.aihw.gov.au/content/689660" TargetMode="External" Id="R726fc0d2cbb841ba" /><Relationship Type="http://schemas.openxmlformats.org/officeDocument/2006/relationships/hyperlink" Target="https://meteor-uat.aihw.gov.au/RegistrationAuthority/9" TargetMode="External" Id="R1ac8bc7b127a40cc" /><Relationship Type="http://schemas.openxmlformats.org/officeDocument/2006/relationships/hyperlink" Target="https://meteor-uat.aihw.gov.au/content/645385" TargetMode="External" Id="Rbbe1cd09927d4aae" /><Relationship Type="http://schemas.openxmlformats.org/officeDocument/2006/relationships/hyperlink" Target="https://meteor-uat.aihw.gov.au/RegistrationAuthority/9" TargetMode="External" Id="Rbeda116f61a64b62" /></Relationships>
</file>

<file path=word/_rels/header1.xml.rels>&#65279;<?xml version="1.0" encoding="utf-8"?><Relationships xmlns="http://schemas.openxmlformats.org/package/2006/relationships"><Relationship Type="http://schemas.openxmlformats.org/officeDocument/2006/relationships/image" Target="/media/image.png" Id="R009cdb8d81ee4ace" /></Relationships>
</file>