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817e2785e45ed" /></Relationships>
</file>

<file path=word/document.xml><?xml version="1.0" encoding="utf-8"?>
<w:document xmlns:r="http://schemas.openxmlformats.org/officeDocument/2006/relationships" xmlns:w="http://schemas.openxmlformats.org/wordprocessingml/2006/main">
  <w:body>
    <w:p>
      <w:pPr>
        <w:pStyle w:val="Title"/>
      </w:pPr>
      <w:r>
        <w:t>Child—permanent care arrangement status,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Child—permanent care arrangement status,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Permanent care arrangement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c912167a441f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child's care arrangement with regard to permanency,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394f35e7254c42">
              <w:r>
                <w:rPr>
                  <w:rStyle w:val="Hyperlink"/>
                </w:rPr>
                <w:t xml:space="preserve">Child—permanent care arrangement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54c9e9b7444206">
              <w:r>
                <w:rPr>
                  <w:rStyle w:val="Hyperlink"/>
                </w:rPr>
                <w:t xml:space="preserve">Type of permanent 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New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New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Continued existing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Continued existing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did not have a permanent care arrangement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2015–16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relatives/kin other than birth parents </w:t>
            </w:r>
          </w:p>
          <w:p>
            <w:pPr>
              <w:spacing w:after="160"/>
            </w:pPr>
            <w:r>
              <w:rPr>
                <w:rStyle w:val="row-content-rich-text"/>
              </w:rPr>
              <w:t xml:space="preserve">Where the child will be reunified with relatives/kin other than birth parents. The Department/agency will have transferred full parental guardianship/custody of the child back to relatives/kin within the reporting period.</w:t>
            </w:r>
          </w:p>
          <w:p>
            <w:pPr>
              <w:spacing w:after="160"/>
            </w:pPr>
            <w:r>
              <w:rPr>
                <w:rStyle w:val="row-content-rich-text"/>
              </w:rPr>
              <w:t xml:space="preserve">CODE 3    Reunification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r>
              <w:rPr>
                <w:rStyle w:val="row-content-rich-text"/>
              </w:rPr>
              <w:t xml:space="preserve"> </w:t>
            </w:r>
          </w:p>
          <w:p>
            <w:pPr>
              <w:spacing w:after="160"/>
            </w:pPr>
            <w:r>
              <w:rPr>
                <w:rStyle w:val="row-content-rich-text"/>
              </w:rPr>
              <w:t xml:space="preserve">CODE 4   Adoption </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reporting period for children who were under the care of the relevant child protection department are included. The way in which an adoption is finalised depends on the procedures of the state or territory departments responsible for adoption in Australia. </w:t>
            </w:r>
            <w:r>
              <w:rPr>
                <w:rStyle w:val="row-content-rich-text"/>
              </w:rPr>
              <w:t xml:space="preserve"> </w:t>
            </w:r>
          </w:p>
          <w:p>
            <w:pPr>
              <w:spacing w:after="160"/>
            </w:pPr>
            <w:r>
              <w:rPr>
                <w:rStyle w:val="row-content-rich-text"/>
              </w:rPr>
              <w:t xml:space="preserve">Current policy and practice may limit these adoptions to known-carer adoptions (included in the ‘known child adoptions’ category for national adoptions reporting). However in some jurisdictions, local adoptions may also be included in this category (see below for further definitions).</w:t>
            </w:r>
          </w:p>
          <w:p>
            <w:pPr>
              <w:spacing w:after="160"/>
            </w:pPr>
            <w:r>
              <w:rPr>
                <w:rStyle w:val="row-content-rich-text"/>
                <w:i/>
              </w:rPr>
              <w:t xml:space="preserve">Known-carer adoption</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r>
              <w:rPr>
                <w:rStyle w:val="row-content-rich-text"/>
              </w:rPr>
              <w:t xml:space="preserve"> </w:t>
            </w:r>
          </w:p>
          <w:p>
            <w:pPr>
              <w:spacing w:after="160"/>
            </w:pPr>
            <w:r>
              <w:rPr>
                <w:rStyle w:val="row-content-rich-text"/>
                <w:i/>
              </w:rPr>
              <w:t xml:space="preserve">Local adoption</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r>
              <w:rPr>
                <w:rStyle w:val="row-content-rich-text"/>
                <w:b/>
              </w:rPr>
              <w:t xml:space="preserve"> </w:t>
            </w:r>
          </w:p>
          <w:p>
            <w:pPr>
              <w:spacing w:after="160"/>
            </w:pPr>
            <w:r>
              <w:rPr>
                <w:rStyle w:val="row-content-rich-text"/>
              </w:rPr>
              <w:t xml:space="preserve">CODE 5   New long-term finalised guardianship or custody orders</w:t>
            </w:r>
          </w:p>
          <w:p>
            <w:pPr>
              <w:spacing w:after="160"/>
            </w:pPr>
            <w:r>
              <w:rPr>
                <w:rStyle w:val="row-content-rich-text"/>
              </w:rPr>
              <w:t xml:space="preserve">Order involving the transfer of legal guardianship to the relevant state or territory department or non-government agency. These orders involve considerable intervention in the child’s life and that of their family, and are sought only as a last resort.</w:t>
            </w:r>
          </w:p>
          <w:p>
            <w:pPr>
              <w:spacing w:after="160"/>
            </w:pPr>
            <w:r>
              <w:rPr>
                <w:rStyle w:val="row-content-rich-text"/>
              </w:rPr>
              <w:t xml:space="preserve">For the purpose of this collection, this category refers to long-term finalised guardianship or custody orders. ‘Long-term’ generally refers to where the order confers guardianship/custody until the child turns 18 years of age.  However, in some jurisdictions, specific time-limited orders (more than 2 years) may also be deemed to be long-term and may also be included in this category.</w:t>
            </w:r>
          </w:p>
          <w:p>
            <w:pPr>
              <w:spacing w:after="160"/>
            </w:pPr>
            <w:r>
              <w:rPr>
                <w:rStyle w:val="row-content-rich-text"/>
              </w:rPr>
              <w:t xml:space="preserve">A guardianship order conveys responsibility for the welfare of the child to the guardian (for example, for the child’s education, health, religion, accommodation and financial matters). It does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A custody order is generally an order that places a child in the custody of either the state or territory department responsible for child protection, or a non-government agency. It usually involves the child protection department’s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6   New third-party parental responsibility order</w:t>
            </w:r>
          </w:p>
          <w:p>
            <w:pPr>
              <w:spacing w:after="160"/>
            </w:pPr>
            <w:r>
              <w:rPr>
                <w:rStyle w:val="row-content-rich-text"/>
              </w:rPr>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w:t>
            </w:r>
          </w:p>
          <w:p>
            <w:pPr>
              <w:spacing w:after="160"/>
            </w:pPr>
            <w:r>
              <w:rPr>
                <w:rStyle w:val="row-content-rich-text"/>
              </w:rPr>
              <w:t xml:space="preserve">CODE 7   Continued existing long-term finalised guardianship or custody orders</w:t>
            </w:r>
          </w:p>
          <w:p>
            <w:pPr>
              <w:spacing w:after="160"/>
            </w:pPr>
            <w:r>
              <w:rPr>
                <w:rStyle w:val="row-content-rich-text"/>
              </w:rPr>
              <w:t xml:space="preserve">Where a child remained on an existing long-term finalised guardianship or custody order from the previous (2014–15) reporting period.</w:t>
            </w:r>
          </w:p>
          <w:p>
            <w:pPr>
              <w:spacing w:after="160"/>
            </w:pPr>
            <w:r>
              <w:rPr>
                <w:rStyle w:val="row-content-rich-text"/>
              </w:rPr>
              <w:t xml:space="preserve">CODE 8   Continued existing third-party parental responsibility order</w:t>
            </w:r>
          </w:p>
          <w:p>
            <w:pPr>
              <w:spacing w:after="160"/>
            </w:pPr>
            <w:r>
              <w:rPr>
                <w:rStyle w:val="row-content-rich-text"/>
              </w:rPr>
              <w:t xml:space="preserve">Where a child remained on an existing third-party parental responsibility order from the previous (2014–15) reporting period. </w:t>
            </w:r>
          </w:p>
          <w:p>
            <w:pPr>
              <w:spacing w:after="160"/>
            </w:pPr>
            <w:r>
              <w:rPr>
                <w:rStyle w:val="row-content-rich-text"/>
              </w:rPr>
              <w:t xml:space="preserve">CODE 9   Child did not have a permanent care arrangement during the reporting period</w:t>
            </w:r>
          </w:p>
          <w:p>
            <w:pPr>
              <w:spacing w:after="160"/>
            </w:pPr>
            <w:r>
              <w:rPr>
                <w:rStyle w:val="row-content-rich-text"/>
              </w:rPr>
              <w:t xml:space="preserve">Where it is known that the child was not reunified or provided with an alternative permanent care arrangement during the reporting period.</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Permanency planning refers to time-limited, goal directed efforts to help maintain a child in a permanent and stable living arrangement with his or her own family, or, if that is not possible, to secure for the child a permanent living arrangement under a long-term child protection order or an adoption order.</w:t>
            </w:r>
            <w:r>
              <w:rPr>
                <w:rStyle w:val="row-content-rich-text"/>
              </w:rPr>
              <w:t xml:space="preserve"> </w:t>
            </w:r>
          </w:p>
          <w:p>
            <w:pPr>
              <w:spacing w:after="160"/>
            </w:pPr>
            <w:r>
              <w:rPr>
                <w:rStyle w:val="row-content-rich-text"/>
              </w:rPr>
              <w:t xml:space="preserve">Permanent care arrangements may</w:t>
            </w:r>
            <w:r>
              <w:rPr>
                <w:rStyle w:val="row-content-rich-text"/>
              </w:rPr>
              <w:t xml:space="preserve">include a child being returned to their parent(s); other relatives/kin, or a former guardian (reunification); adoption; or for whom alternative permanent care arrangements were provided (i.e. third-party parental responsibility orders, long-term/to age 18 orders).</w:t>
            </w:r>
          </w:p>
          <w:p>
            <w:pPr/>
            <w:r>
              <w:rPr>
                <w:rStyle w:val="row-content-rich-text"/>
              </w:rPr>
              <w:t xml:space="preserve">There are different goals and priorities for children’s permanent care arrangements depending on their characteristics and circumstances.  While it is possible for a child to have a number of permanency options explored within the 2015–16 reporting period, this item intends to capture the most recent permanent care arrangement attained in the reporting period (i.e. on the night of 30 June 2016, or as at discharge for children who were discharged from care during 2015–16, and had not returned in less than 60 days). Codes 1–6 represent a change to a new permanent care arrangement; Codes 7–8 represent the continuation of an existing permanent care arrangement, acknowledging that there may not have been a change to the status of a permanent care arrangement within the 2015–16 reporting period. Code 9 captures those children who did not have a permanent care arrangement within the 2015–16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3623208a274eb7">
              <w:r>
                <w:rPr>
                  <w:rStyle w:val="Hyperlink"/>
                </w:rPr>
                <w:t xml:space="preserve">National out-of-home care standards (NOOHCS) file cluster</w:t>
              </w:r>
            </w:hyperlink>
          </w:p>
          <w:p>
            <w:pPr>
              <w:pStyle w:val="registration-status"/>
              <w:spacing w:before="0" w:after="0"/>
            </w:pPr>
            <w:hyperlink w:history="true" r:id="Ra5e4b73f6fdd43c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b348b6d5c538482f">
              <w:r>
                <w:rPr>
                  <w:rStyle w:val="Hyperlink"/>
                </w:rPr>
                <w:t xml:space="preserve">National out-of-home care standards (NOOHCS) file cluster</w:t>
              </w:r>
            </w:hyperlink>
          </w:p>
          <w:p>
            <w:pPr>
              <w:pStyle w:val="registration-status"/>
              <w:spacing w:before="0" w:after="0"/>
            </w:pPr>
            <w:hyperlink w:history="true" r:id="R6e92ec98f2f24e7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5f46189cd6f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4647e5ba1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46189cd6f4940" /><Relationship Type="http://schemas.openxmlformats.org/officeDocument/2006/relationships/header" Target="/word/header1.xml" Id="Rbb337fc9226a4c87" /><Relationship Type="http://schemas.openxmlformats.org/officeDocument/2006/relationships/settings" Target="/word/settings.xml" Id="Raebb7c0ad3664cfe" /><Relationship Type="http://schemas.openxmlformats.org/officeDocument/2006/relationships/styles" Target="/word/styles.xml" Id="R2da97fde507d40ab" /><Relationship Type="http://schemas.openxmlformats.org/officeDocument/2006/relationships/hyperlink" Target="https://meteor-uat.aihw.gov.au/RegistrationAuthority/1" TargetMode="External" Id="Rc94c912167a441fc" /><Relationship Type="http://schemas.openxmlformats.org/officeDocument/2006/relationships/hyperlink" Target="https://meteor-uat.aihw.gov.au/content/657339" TargetMode="External" Id="R09394f35e7254c42" /><Relationship Type="http://schemas.openxmlformats.org/officeDocument/2006/relationships/hyperlink" Target="https://meteor-uat.aihw.gov.au/content/657330" TargetMode="External" Id="R8c54c9e9b7444206" /><Relationship Type="http://schemas.openxmlformats.org/officeDocument/2006/relationships/hyperlink" Target="https://meteor-uat.aihw.gov.au/content/656511" TargetMode="External" Id="Rcd3623208a274eb7" /><Relationship Type="http://schemas.openxmlformats.org/officeDocument/2006/relationships/hyperlink" Target="https://meteor-uat.aihw.gov.au/RegistrationAuthority/1" TargetMode="External" Id="Ra5e4b73f6fdd43cd" /><Relationship Type="http://schemas.openxmlformats.org/officeDocument/2006/relationships/hyperlink" Target="https://meteor-uat.aihw.gov.au/content/688447" TargetMode="External" Id="Rb348b6d5c538482f" /><Relationship Type="http://schemas.openxmlformats.org/officeDocument/2006/relationships/hyperlink" Target="https://meteor-uat.aihw.gov.au/RegistrationAuthority/1" TargetMode="External" Id="R6e92ec98f2f24e72" /></Relationships>
</file>

<file path=word/_rels/header1.xml.rels>&#65279;<?xml version="1.0" encoding="utf-8"?><Relationships xmlns="http://schemas.openxmlformats.org/package/2006/relationships"><Relationship Type="http://schemas.openxmlformats.org/officeDocument/2006/relationships/image" Target="/media/image.png" Id="R4354647e5ba14793" /></Relationships>
</file>