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eb0889e0c4f67"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9dd91efaa451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 and protection order to which a child may be subject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 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guardianship or custody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guardianship or custody order– 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Finalised third party parental responsibility order–to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Finalised known-carer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Finalised local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 </w:t>
            </w:r>
          </w:p>
        </w:tc>
        <w:tc>
          <w:tcPr>
            <w:tcBorders>
              <w:top w:val="none" w:color="000000" w:sz="0"/>
              <w:left w:val="none" w:color="000000" w:sz="0"/>
              <w:bottom w:val="none" w:color="000000" w:sz="0"/>
              <w:right w:val="none" w:color="000000" w:sz="0"/>
            </w:tcBorders>
            <w:vAlign w:val="top"/>
          </w:tcPr>
          <w:p>
            <w:r>
              <w:t xml:space="preserve">Orders made under the Immigration (Guardianship of Children) Act 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3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Finalised guardianship or custody orders as defined above can be for specific time periods, and will be captured separately in the collection based on the below categories.</w:t>
            </w:r>
          </w:p>
          <w:p>
            <w:pPr>
              <w:spacing w:after="160"/>
            </w:pPr>
            <w:r>
              <w:rPr>
                <w:rStyle w:val="row-content-rich-text"/>
                <w:i/>
              </w:rPr>
              <w:t xml:space="preserve">Orders to 18 years</w:t>
            </w:r>
          </w:p>
          <w:p>
            <w:pPr>
              <w:spacing w:after="160"/>
            </w:pPr>
            <w:r>
              <w:rPr>
                <w:rStyle w:val="row-content-rich-text"/>
              </w:rPr>
              <w:t xml:space="preserve">Generally these orders transfer guardianship/custody until the child turns 18 years of age. For this collection, this excludes orders considered to be long-term which are time-limited for a specific period. These should be reported separately in the category– time-limited, more than 2 years (see below).</w:t>
            </w:r>
          </w:p>
          <w:p>
            <w:pPr>
              <w:spacing w:after="160"/>
            </w:pPr>
            <w:r>
              <w:rPr>
                <w:rStyle w:val="row-content-rich-text"/>
                <w:i/>
              </w:rPr>
              <w:t xml:space="preserve">Time limited orders, more than 2 years</w:t>
            </w:r>
          </w:p>
          <w:p>
            <w:pPr>
              <w:spacing w:after="160"/>
            </w:pPr>
            <w:r>
              <w:rPr>
                <w:rStyle w:val="row-content-rich-text"/>
              </w:rPr>
              <w:t xml:space="preserve">Orders that transfer guardianship for a specified period greater than 2 years, that are distinct from ‘to 18 years’ orders.</w:t>
            </w:r>
          </w:p>
          <w:p>
            <w:pPr>
              <w:spacing w:after="160"/>
            </w:pPr>
            <w:r>
              <w:rPr>
                <w:rStyle w:val="row-content-rich-text"/>
                <w:i/>
              </w:rPr>
              <w:t xml:space="preserve">Time-limited orders, 2 years or less</w:t>
            </w:r>
          </w:p>
          <w:p>
            <w:pPr>
              <w:spacing w:after="160"/>
            </w:pPr>
            <w:r>
              <w:rPr>
                <w:rStyle w:val="row-content-rich-text"/>
              </w:rPr>
              <w:t xml:space="preserve"> </w:t>
            </w:r>
          </w:p>
          <w:p>
            <w:pPr>
              <w:spacing w:after="160"/>
            </w:pPr>
            <w:r>
              <w:rPr>
                <w:rStyle w:val="row-content-rich-text"/>
              </w:rPr>
              <w:t xml:space="preserve">CODES 4 to 6 Finalised third party parental responsibility order</w:t>
            </w:r>
          </w:p>
          <w:p>
            <w:pPr>
              <w:spacing w:after="160"/>
            </w:pPr>
            <w:r>
              <w:rPr>
                <w:rStyle w:val="row-content-rich-text"/>
              </w:rPr>
              <w:t xml:space="preserve">Note, that as with finalised guardianship or custody orders, finalised third-party parental responsibility orders can also be for specific time periods. Please see ‘Orders to 18 years’; ‘Time limited orders, more than 2 years’; and ‘Time-limited orders, 2 years or less’ above.</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 Third party parental responsibility may be ordered in the event that a parent is unable to care for a child, and as such parental responsibility is transferred to a relative.</w:t>
            </w:r>
          </w:p>
          <w:p>
            <w:pPr>
              <w:spacing w:after="160"/>
            </w:pPr>
            <w:r>
              <w:rPr>
                <w:rStyle w:val="row-content-rich-text"/>
              </w:rPr>
              <w:t xml:space="preserve">CODE 7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8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9 Administrative arrangement</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10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11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Adoption</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reference period for children who were under the care of the relevant child protection department are included. The way in which an adoption is finalised depends on the procedures of the state or territory departments responsible for adoption in Australia.</w:t>
            </w:r>
          </w:p>
          <w:p>
            <w:pPr>
              <w:spacing w:after="160"/>
            </w:pPr>
            <w:r>
              <w:rPr>
                <w:rStyle w:val="row-content-rich-text"/>
              </w:rPr>
              <w:t xml:space="preserve">CODE 12    Finalised known-carer adoption order</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p>
          <w:p>
            <w:pPr>
              <w:spacing w:after="160"/>
            </w:pPr>
            <w:r>
              <w:rPr>
                <w:rStyle w:val="row-content-rich-text"/>
              </w:rPr>
              <w:t xml:space="preserve">CODE 13    Finalised local adoption order</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p>
          <w:p>
            <w:pPr>
              <w:spacing w:after="160"/>
            </w:pPr>
            <w:r>
              <w:rPr>
                <w:rStyle w:val="row-content-rich-text"/>
              </w:rPr>
              <w:t xml:space="preserve">CODE 14   Orders made under the Immigration (Guardianship of Children) Act 1946</w:t>
            </w:r>
          </w:p>
          <w:p>
            <w:pPr>
              <w:spacing w:after="160"/>
            </w:pPr>
            <w:r>
              <w:rPr>
                <w:rStyle w:val="row-content-rich-text"/>
              </w:rPr>
              <w:t xml:space="preserve">Under this Act, the Minister for Immigration is the legal guardian for unaccompanied humanitarian minors (children under 18 years of age who have entered Australia without a relative to care for them); however the Minister may assign custody of the child to a willing and suitable person in the jurisdiction where a child resides. The assigned person becomes responsible for all matters concerning the child’s daily activities, care and welfare. This category captures the arrangements of children that are subject to the Act, who are subsequently placed with carers funded by the Departments responsible for child protection.</w:t>
            </w:r>
          </w:p>
          <w:p>
            <w:pPr>
              <w:spacing w:after="160"/>
            </w:pPr>
            <w:r>
              <w:rPr>
                <w:rStyle w:val="row-content-rich-text"/>
              </w:rPr>
              <w:t xml:space="preserve">CODE 99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7083fd1a9e4b2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37e06340a741aa">
              <w:r>
                <w:rPr>
                  <w:rStyle w:val="Hyperlink"/>
                </w:rPr>
                <w:t xml:space="preserve">Care and protection order type code N[N]</w:t>
              </w:r>
            </w:hyperlink>
          </w:p>
          <w:p>
            <w:pPr>
              <w:pStyle w:val="registration-status"/>
              <w:spacing w:before="0" w:after="0"/>
            </w:pPr>
            <w:hyperlink w:history="true" r:id="R41fb13068262442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137052be090407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52c188a5c64830">
              <w:r>
                <w:rPr>
                  <w:rStyle w:val="Hyperlink"/>
                </w:rPr>
                <w:t xml:space="preserve">Order—order type, care and protection code N[N]</w:t>
              </w:r>
            </w:hyperlink>
          </w:p>
          <w:p>
            <w:pPr>
              <w:pStyle w:val="registration-status"/>
              <w:spacing w:before="0" w:after="0"/>
            </w:pPr>
            <w:hyperlink w:history="true" r:id="Raefb396bdd3c48df">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346a04b942a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3f2d27b80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6a04b942a482f" /><Relationship Type="http://schemas.openxmlformats.org/officeDocument/2006/relationships/header" Target="/word/header1.xml" Id="Rbb036dbbc16a4f96" /><Relationship Type="http://schemas.openxmlformats.org/officeDocument/2006/relationships/settings" Target="/word/settings.xml" Id="Rd2a7762d405a4da9" /><Relationship Type="http://schemas.openxmlformats.org/officeDocument/2006/relationships/styles" Target="/word/styles.xml" Id="Rf0252fd7db30470c" /><Relationship Type="http://schemas.openxmlformats.org/officeDocument/2006/relationships/hyperlink" Target="https://meteor-uat.aihw.gov.au/RegistrationAuthority/1" TargetMode="External" Id="Rd7d9dd91efaa451f" /><Relationship Type="http://schemas.openxmlformats.org/officeDocument/2006/relationships/hyperlink" Target="https://meteor-uat.aihw.gov.au/content/246013" TargetMode="External" Id="Ra07083fd1a9e4b2e" /><Relationship Type="http://schemas.openxmlformats.org/officeDocument/2006/relationships/hyperlink" Target="https://meteor-uat.aihw.gov.au/content/458544" TargetMode="External" Id="R6737e06340a741aa" /><Relationship Type="http://schemas.openxmlformats.org/officeDocument/2006/relationships/hyperlink" Target="https://meteor-uat.aihw.gov.au/RegistrationAuthority/1" TargetMode="External" Id="R41fb13068262442d" /><Relationship Type="http://schemas.openxmlformats.org/officeDocument/2006/relationships/hyperlink" Target="https://meteor-uat.aihw.gov.au/RegistrationAuthority/3" TargetMode="External" Id="Rd137052be090407b" /><Relationship Type="http://schemas.openxmlformats.org/officeDocument/2006/relationships/hyperlink" Target="https://meteor-uat.aihw.gov.au/content/657300" TargetMode="External" Id="Re452c188a5c64830" /><Relationship Type="http://schemas.openxmlformats.org/officeDocument/2006/relationships/hyperlink" Target="https://meteor-uat.aihw.gov.au/RegistrationAuthority/1" TargetMode="External" Id="Raefb396bdd3c48df" /></Relationships>
</file>

<file path=word/_rels/header1.xml.rels>&#65279;<?xml version="1.0" encoding="utf-8"?><Relationships xmlns="http://schemas.openxmlformats.org/package/2006/relationships"><Relationship Type="http://schemas.openxmlformats.org/officeDocument/2006/relationships/image" Target="/media/image.png" Id="R6bb3f2d27b804ff6" /></Relationships>
</file>