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3efffb4b9a4a13"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6.1-Rates of hospitalisation for cardiac conditions,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6.1-Rates of hospitalisation for cardiac conditions,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6.1-Hospitalisations for cardiac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0dfb19d2d439b">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hospitalisation for cardiac conditions,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addition to the 5 priority areas, the Better Cardiac Care project also includes 2 summary measures, which are designed to monitor hospitalisations from cardiac conditions (measure 6.1—that is, this measure) and mortality from cardiac conditions (</w:t>
            </w:r>
            <w:hyperlink w:history="true" r:id="Rb07243b7c66a4d53">
              <w:r>
                <w:rPr>
                  <w:rStyle w:val="Hyperlink"/>
                </w:rPr>
                <w:t xml:space="preserve">measure 6.2</w:t>
              </w:r>
            </w:hyperlink>
            <w:r>
              <w:rPr>
                <w:rStyle w:val="row-content-rich-text"/>
              </w:rPr>
              <w:t xml:space="preserve">).</w:t>
            </w:r>
          </w:p>
          <w:p>
            <w:pPr/>
            <w:r>
              <w:rPr>
                <w:rStyle w:val="row-content-rich-text"/>
              </w:rPr>
              <w:t xml:space="preserve">These measures, which provide a population-wide perspective on the impact of cardiac conditions over time, are broad indicators of the effectiveness of early risk assessment and preventative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9f9471e3374539">
              <w:r>
                <w:rPr>
                  <w:rStyle w:val="Hyperlink"/>
                </w:rPr>
                <w:t xml:space="preserve">Better Cardiac Care measures for Aboriginal and Torres Strait Islander people (2016)</w:t>
              </w:r>
            </w:hyperlink>
          </w:p>
          <w:p>
            <w:pPr>
              <w:pStyle w:val="registration-status"/>
              <w:spacing w:before="0" w:after="0"/>
            </w:pPr>
            <w:hyperlink w:history="true" r:id="R434cd7b1a4ed48f8">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hospitalisations for cardiac conditions, divided by the estimated population, and multiplied by 1,000.</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Presentation:</w:t>
            </w:r>
          </w:p>
          <w:p>
            <w:pPr>
              <w:spacing w:after="160"/>
            </w:pPr>
            <w:r>
              <w:rPr>
                <w:rStyle w:val="row-content-rich-text"/>
              </w:rPr>
              <w:t xml:space="preserve">Hospitalisations per 1,000 population.</w:t>
            </w:r>
          </w:p>
          <w:p>
            <w:pPr>
              <w:spacing w:after="160"/>
            </w:pPr>
            <w:r>
              <w:rPr>
                <w:rStyle w:val="row-content-rich-text"/>
              </w:rPr>
              <w:t xml:space="preserve">Definitions:</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93fb48b3d114bbe">
              <w:r>
                <w:rPr>
                  <w:rStyle w:val="Hyperlink"/>
                  <w:b/>
                </w:rPr>
                <w:t xml:space="preserve">separation</w:t>
              </w:r>
            </w:hyperlink>
            <w:r>
              <w:rPr>
                <w:rStyle w:val="row-content-rich-text"/>
                <w:i/>
              </w:rPr>
              <w:t xml:space="preserve">)</w:t>
            </w:r>
            <w:r>
              <w:rPr>
                <w:rStyle w:val="row-content-rich-text"/>
                <w:b/>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r>
              <w:rPr>
                <w:rStyle w:val="row-content-rich-text"/>
                <w:i/>
              </w:rPr>
              <w:t xml:space="preserve">Cardiac condition</w:t>
            </w:r>
            <w:r>
              <w:rPr>
                <w:rStyle w:val="row-content-rich-text"/>
                <w:b/>
              </w:rPr>
              <w:t xml:space="preserve">—</w:t>
            </w:r>
            <w:r>
              <w:rPr>
                <w:rStyle w:val="row-content-rich-text"/>
              </w:rPr>
              <w:t xml:space="preserve">separations with a principal diagnosis of ICD–10–AM (8th edn.) codes I00–I52, which includes acute rheumatic fever (ARF), chronic rheumatic heart diseases (RHDs), hypertensive diseases, ischaemic heart diseases, pulmonary heart disease and diseases of pulmonary circulation, and other forms of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with a principal diagnosis of a cardiac condition, excluding separations with a care type of </w:t>
            </w:r>
            <w:r>
              <w:rPr>
                <w:rStyle w:val="row-content-rich-text"/>
                <w:i/>
              </w:rPr>
              <w:t xml:space="preserve">Newborn</w:t>
            </w:r>
            <w:r>
              <w:rPr>
                <w:rStyle w:val="row-content-rich-text"/>
              </w:rPr>
              <w:t xml:space="preserve"> that did not include qualified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a5a58ce55547fe">
              <w:r>
                <w:rPr>
                  <w:rStyle w:val="Hyperlink"/>
                </w:rPr>
                <w:t xml:space="preserve">Episode of admitted patient care (newborn)—number of qualified days, total N[NNNN]</w:t>
              </w:r>
            </w:hyperlink>
          </w:p>
          <w:p>
            <w:r>
              <w:rPr>
                <w:rStyle w:val="row-content"/>
                <w:b/>
              </w:rPr>
              <w:t xml:space="preserve">Data Source</w:t>
            </w:r>
          </w:p>
          <w:p>
            <w:hyperlink w:history="true" r:id="Ree5a078924444144">
              <w:r>
                <w:rPr>
                  <w:rStyle w:val="Hyperlink"/>
                </w:rPr>
                <w:t xml:space="preserve">National Hospital Morbidity Database (NHMD)</w:t>
              </w:r>
            </w:hyperlink>
          </w:p>
          <w:p>
            <w:r>
              <w:rPr>
                <w:rStyle w:val="row-content"/>
                <w:b/>
              </w:rPr>
              <w:t xml:space="preserve">NMDS / DSS</w:t>
            </w:r>
          </w:p>
          <w:p>
            <w:hyperlink w:history="true" r:id="R01dc74afb463418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b3b2349d8343ec">
              <w:r>
                <w:rPr>
                  <w:rStyle w:val="Hyperlink"/>
                </w:rPr>
                <w:t xml:space="preserve">Hospital service—care type, code N[N]</w:t>
              </w:r>
            </w:hyperlink>
          </w:p>
          <w:p>
            <w:r>
              <w:rPr>
                <w:rStyle w:val="row-content"/>
                <w:b/>
              </w:rPr>
              <w:t xml:space="preserve">Data Source</w:t>
            </w:r>
          </w:p>
          <w:p>
            <w:hyperlink w:history="true" r:id="Rfa6f7d72f80b4083">
              <w:r>
                <w:rPr>
                  <w:rStyle w:val="Hyperlink"/>
                </w:rPr>
                <w:t xml:space="preserve">National Hospital Morbidity Database (NHMD)</w:t>
              </w:r>
            </w:hyperlink>
          </w:p>
          <w:p>
            <w:r>
              <w:rPr>
                <w:rStyle w:val="row-content"/>
                <w:b/>
              </w:rPr>
              <w:t xml:space="preserve">NMDS / DSS</w:t>
            </w:r>
          </w:p>
          <w:p>
            <w:hyperlink w:history="true" r:id="Rf7c7bffdf648422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8fb1729c504753">
              <w:r>
                <w:rPr>
                  <w:rStyle w:val="Hyperlink"/>
                </w:rPr>
                <w:t xml:space="preserve">Episode of care—principal diagnosis, code (ICD-10-AM 8th edn) ANN{.N[N]}</w:t>
              </w:r>
            </w:hyperlink>
          </w:p>
          <w:p>
            <w:r>
              <w:rPr>
                <w:rStyle w:val="row-content"/>
                <w:b/>
              </w:rPr>
              <w:t xml:space="preserve">Data Source</w:t>
            </w:r>
          </w:p>
          <w:p>
            <w:hyperlink w:history="true" r:id="R299be3ba47844ef3">
              <w:r>
                <w:rPr>
                  <w:rStyle w:val="Hyperlink"/>
                </w:rPr>
                <w:t xml:space="preserve">National Hospital Morbidity Database (NHMD)</w:t>
              </w:r>
            </w:hyperlink>
          </w:p>
          <w:p>
            <w:r>
              <w:rPr>
                <w:rStyle w:val="row-content"/>
                <w:b/>
              </w:rPr>
              <w:t xml:space="preserve">NMDS / DSS</w:t>
            </w:r>
          </w:p>
          <w:p>
            <w:hyperlink w:history="true" r:id="Re40cab77d53d40a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population at the middle of the reference period. Where numerator data pertain to a single financial year, the denominator is the estimated population at 31 December, calculated from the average of the populations at 30 June at the beginning and end of the financial year. Where numerator data are summed across multiple years, the denominator is calculated by summing the mid-point population data for the relevant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48cc9a3e7fb4d12">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and projected Indigenous resident population</w:t>
            </w:r>
          </w:p>
          <w:p>
            <w:r>
              <w:rPr>
                <w:rStyle w:val="row-content"/>
                <w:b/>
              </w:rPr>
              <w:t xml:space="preserve">Data Source</w:t>
            </w:r>
          </w:p>
          <w:p>
            <w:hyperlink w:history="true" r:id="R4ccd1af5c2ce40e2">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(2011–14), national data,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Indigenous status, sex and age group (0–34, 35–44, 45–54, 55–64,  65+)</w:t>
            </w:r>
          </w:p>
          <w:p>
            <w:pPr>
              <w:pStyle w:val="ListParagraph"/>
              <w:numPr>
                <w:ilvl w:val="0"/>
                <w:numId w:val="2"/>
              </w:numPr>
            </w:pPr>
            <w:r>
              <w:rPr>
                <w:rStyle w:val="row-content-rich-text"/>
              </w:rPr>
              <w:t xml:space="preserve">Indigenous status and remoteness area</w:t>
            </w:r>
          </w:p>
          <w:p>
            <w:pPr>
              <w:pStyle w:val="ListParagraph"/>
              <w:numPr>
                <w:ilvl w:val="0"/>
                <w:numId w:val="2"/>
              </w:numPr>
            </w:pPr>
            <w:r>
              <w:rPr>
                <w:rStyle w:val="row-content-rich-text"/>
              </w:rPr>
              <w:t xml:space="preserve"> </w:t>
            </w:r>
          </w:p>
          <w:p>
            <w:pPr>
              <w:spacing w:after="160"/>
            </w:pPr>
            <w:r>
              <w:rPr>
                <w:rStyle w:val="row-content-rich-text"/>
              </w:rPr>
              <w:t xml:space="preserve">Time series (2004–05 to 2013–14), New South Wales, Victoria, Queensland, Western Australia, South Australia and the Northern Territory combined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3a5e915bbf44ab">
              <w:r>
                <w:rPr>
                  <w:rStyle w:val="Hyperlink"/>
                </w:rPr>
                <w:t xml:space="preserve">Episode of admitted patient care—admission date, DDMMYYYY</w:t>
              </w:r>
            </w:hyperlink>
          </w:p>
          <w:p>
            <w:r>
              <w:rPr>
                <w:rStyle w:val="row-content"/>
                <w:b/>
              </w:rPr>
              <w:t xml:space="preserve">Data Source</w:t>
            </w:r>
          </w:p>
          <w:p>
            <w:hyperlink w:history="true" r:id="R0122cb686db14f86">
              <w:r>
                <w:rPr>
                  <w:rStyle w:val="Hyperlink"/>
                </w:rPr>
                <w:t xml:space="preserve">National Hospital Morbidity Database (NHMD)</w:t>
              </w:r>
            </w:hyperlink>
          </w:p>
          <w:p>
            <w:r>
              <w:rPr>
                <w:rStyle w:val="row-content"/>
                <w:b/>
              </w:rPr>
              <w:t xml:space="preserve">NMDS / DSS</w:t>
            </w:r>
          </w:p>
          <w:p>
            <w:hyperlink w:history="true" r:id="R087946f2a2f94dd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09bb3a40e24241">
              <w:r>
                <w:rPr>
                  <w:rStyle w:val="Hyperlink"/>
                </w:rPr>
                <w:t xml:space="preserve">Person—date of birth, DDMMYYYY</w:t>
              </w:r>
            </w:hyperlink>
          </w:p>
          <w:p>
            <w:r>
              <w:rPr>
                <w:rStyle w:val="row-content"/>
                <w:b/>
              </w:rPr>
              <w:t xml:space="preserve">Data Source</w:t>
            </w:r>
          </w:p>
          <w:p>
            <w:hyperlink w:history="true" r:id="R7a70d5ecad934708">
              <w:r>
                <w:rPr>
                  <w:rStyle w:val="Hyperlink"/>
                </w:rPr>
                <w:t xml:space="preserve">National Hospital Morbidity Database (NHMD)</w:t>
              </w:r>
            </w:hyperlink>
          </w:p>
          <w:p>
            <w:r>
              <w:rPr>
                <w:rStyle w:val="row-content"/>
                <w:b/>
              </w:rPr>
              <w:t xml:space="preserve">NMDS / DSS</w:t>
            </w:r>
          </w:p>
          <w:p>
            <w:hyperlink w:history="true" r:id="Rdd82f13952604a6f">
              <w:r>
                <w:rPr>
                  <w:rStyle w:val="Hyperlink"/>
                </w:rPr>
                <w:t xml:space="preserve">Admitted patient care NMDS 2013-14</w:t>
              </w:r>
            </w:hyperlink>
          </w:p>
          <w:p>
            <w:r>
              <w:rPr>
                <w:rStyle w:val="row-content"/>
                <w:b/>
              </w:rPr>
              <w:t xml:space="preserve">Guide for use</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703839885e4015">
              <w:r>
                <w:rPr>
                  <w:rStyle w:val="Hyperlink"/>
                </w:rPr>
                <w:t xml:space="preserve">Person—Indigenous status, code N</w:t>
              </w:r>
            </w:hyperlink>
          </w:p>
          <w:p>
            <w:r>
              <w:rPr>
                <w:rStyle w:val="row-content"/>
                <w:b/>
              </w:rPr>
              <w:t xml:space="preserve">Data Source</w:t>
            </w:r>
          </w:p>
          <w:p>
            <w:hyperlink w:history="true" r:id="R09f5862c74934b69">
              <w:r>
                <w:rPr>
                  <w:rStyle w:val="Hyperlink"/>
                </w:rPr>
                <w:t xml:space="preserve">National Hospital Morbidity Database (NHMD)</w:t>
              </w:r>
            </w:hyperlink>
          </w:p>
          <w:p>
            <w:r>
              <w:rPr>
                <w:rStyle w:val="row-content"/>
                <w:b/>
              </w:rPr>
              <w:t xml:space="preserve">NMDS / DSS</w:t>
            </w:r>
          </w:p>
          <w:p>
            <w:hyperlink w:history="true" r:id="Re2bfe58c50bb459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2085229f41448a">
              <w:r>
                <w:rPr>
                  <w:rStyle w:val="Hyperlink"/>
                </w:rPr>
                <w:t xml:space="preserve">Person—area of usual residence, statistical area level 2 (SA2) code (ASGS 2011) N(9)</w:t>
              </w:r>
            </w:hyperlink>
          </w:p>
          <w:p>
            <w:r>
              <w:rPr>
                <w:rStyle w:val="row-content"/>
                <w:b/>
              </w:rPr>
              <w:t xml:space="preserve">Data Source</w:t>
            </w:r>
          </w:p>
          <w:p>
            <w:hyperlink w:history="true" r:id="Rc74a3654d28e41df">
              <w:r>
                <w:rPr>
                  <w:rStyle w:val="Hyperlink"/>
                </w:rPr>
                <w:t xml:space="preserve">National Hospital Morbidity Database (NHMD)</w:t>
              </w:r>
            </w:hyperlink>
          </w:p>
          <w:p>
            <w:r>
              <w:rPr>
                <w:rStyle w:val="row-content"/>
                <w:b/>
              </w:rPr>
              <w:t xml:space="preserve">NMDS / DSS</w:t>
            </w:r>
          </w:p>
          <w:p>
            <w:hyperlink w:history="true" r:id="R500d6a507fb9498f">
              <w:r>
                <w:rPr>
                  <w:rStyle w:val="Hyperlink"/>
                </w:rPr>
                <w:t xml:space="preserve">Admitted patient care NMDS 2014-15</w:t>
              </w:r>
            </w:hyperlink>
          </w:p>
          <w:p>
            <w:r>
              <w:rPr>
                <w:rStyle w:val="row-content"/>
                <w:b/>
              </w:rPr>
              <w:t xml:space="preserve">Guide for use</w:t>
            </w:r>
          </w:p>
          <w:p>
            <w:r>
              <w:rPr>
                <w:rStyle w:val="row-content"/>
              </w:rPr>
              <w:t xml:space="preserve">Used for disaggregation by remoteness area and state/territory.</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(AIHW) NHMD. For 2016 reporting, the most recent data available are for 2013–14. With the exception of time trends, data are reported for the 3-year period 2011–14 to enable for disaggregation of the data by the variables of interest. Single year data are reported for the time trend analysis.</w:t>
            </w:r>
          </w:p>
          <w:p>
            <w:pPr>
              <w:spacing w:after="160"/>
            </w:pPr>
            <w:r>
              <w:rPr>
                <w:rStyle w:val="row-content-rich-text"/>
              </w:rPr>
              <w:t xml:space="preserve">Data reported for this measure are a count of hospitalisations for cardiac conditions. It is not a count of individuals because some of the hospitalisations would represent transfers for ongoing care or hospitalisations of 1 individual at different times of the year. It is also not a count of cardiac events such as ST-segment-elevation myocardial infarctions (STEMIs) because the diagnosis codes used were for the full range of cardiac conditions, rather than just those for events such as STEMIs. This differs from the approach used for Priority 3 measures (measures </w:t>
            </w:r>
            <w:hyperlink w:history="true" r:id="R29534ca1e0484d68">
              <w:r>
                <w:rPr>
                  <w:rStyle w:val="Hyperlink"/>
                </w:rPr>
                <w:t xml:space="preserve">3.1</w:t>
              </w:r>
            </w:hyperlink>
            <w:r>
              <w:rPr>
                <w:rStyle w:val="row-content-rich-text"/>
              </w:rPr>
              <w:t xml:space="preserve">, </w:t>
            </w:r>
            <w:hyperlink w:history="true" r:id="R40007a8e769b474c">
              <w:r>
                <w:rPr>
                  <w:rStyle w:val="Hyperlink"/>
                </w:rPr>
                <w:t xml:space="preserve">3.3</w:t>
              </w:r>
            </w:hyperlink>
            <w:r>
              <w:rPr>
                <w:rStyle w:val="row-content-rich-text"/>
              </w:rPr>
              <w:t xml:space="preserve"> and </w:t>
            </w:r>
            <w:hyperlink w:history="true" r:id="Rd511df5d19c5455c">
              <w:r>
                <w:rPr>
                  <w:rStyle w:val="Hyperlink"/>
                </w:rPr>
                <w:t xml:space="preserve">3.5</w:t>
              </w:r>
            </w:hyperlink>
            <w:r>
              <w:rPr>
                <w:rStyle w:val="row-content-rich-text"/>
              </w:rPr>
              <w:t xml:space="preserve">) in which data relate to hospitalised events, which were estimated by only using diagnosis codes for specific cardiac events and by excluding hospitalisations ending in transfer to another acute hospital.</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w:t>
            </w:r>
          </w:p>
          <w:p>
            <w:pPr/>
            <w:r>
              <w:rPr>
                <w:rStyle w:val="row-content-rich-text"/>
              </w:rPr>
              <w:t xml:space="preserve">Time series comparisons are based on data for the 6 jurisdictions that were assessed by the AIHW as having adequate identification of Indigenous hospitalisations from 2004–05 onwards—namely, New South Wales, Victoria, Queensland, Western Australia, South Australia and public hospitals in the Northern Territory (AIHW 2010). These 6 jurisdictions represent about 95% of the Australian Indigenous population (AIHW 2015b).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41014488b1499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8dc05aeb414bc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c70a50536b2456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r>
              <w:rPr>
                <w:rStyle w:val="row-content-rich-text"/>
              </w:rPr>
              <w:t xml:space="preserve">AIHW 2016. Better Cardiac Care measures for Aboriginal and Torres Strait Islander people: second national report 2016. Cat. no. IHW 169.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bab9ec236c45ee">
              <w:r>
                <w:rPr>
                  <w:rStyle w:val="Hyperlink"/>
                </w:rPr>
                <w:t xml:space="preserve">Indigenous Better Cardiac Care measure: 6.2-Mortality due to cardiac conditions, 2016</w:t>
              </w:r>
            </w:hyperlink>
          </w:p>
          <w:p>
            <w:pPr>
              <w:pStyle w:val="registration-status"/>
              <w:spacing w:before="0" w:after="0"/>
            </w:pPr>
            <w:hyperlink w:history="true" r:id="Ra97554d88d8e4554">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8f8f4e0c4ce4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e58765b5c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f4e0c4ce44eb0" /><Relationship Type="http://schemas.openxmlformats.org/officeDocument/2006/relationships/header" Target="/word/header1.xml" Id="R5fdda76f2bc542e7" /><Relationship Type="http://schemas.openxmlformats.org/officeDocument/2006/relationships/settings" Target="/word/settings.xml" Id="Rc7effd3f0d3d4e33" /><Relationship Type="http://schemas.openxmlformats.org/officeDocument/2006/relationships/styles" Target="/word/styles.xml" Id="R173b68de687d4175" /><Relationship Type="http://schemas.openxmlformats.org/officeDocument/2006/relationships/numbering" Target="/word/numbering.xml" Id="Rea8312c1b76e49eb" /><Relationship Type="http://schemas.openxmlformats.org/officeDocument/2006/relationships/hyperlink" Target="https://meteor-uat.aihw.gov.au/RegistrationAuthority/14" TargetMode="External" Id="R3b60dfb19d2d439b" /><Relationship Type="http://schemas.openxmlformats.org/officeDocument/2006/relationships/hyperlink" Target="https://meteor-uat.aihw.gov.au/content/657115" TargetMode="External" Id="Rb07243b7c66a4d53" /><Relationship Type="http://schemas.openxmlformats.org/officeDocument/2006/relationships/hyperlink" Target="https://meteor-uat.aihw.gov.au/content/657000" TargetMode="External" Id="R2d9f9471e3374539" /><Relationship Type="http://schemas.openxmlformats.org/officeDocument/2006/relationships/hyperlink" Target="https://meteor-uat.aihw.gov.au/RegistrationAuthority/14" TargetMode="External" Id="R434cd7b1a4ed48f8" /><Relationship Type="http://schemas.openxmlformats.org/officeDocument/2006/relationships/hyperlink" Target="https://meteor-uat.aihw.gov.au/content/327268" TargetMode="External" Id="R593fb48b3d114bbe" /><Relationship Type="http://schemas.openxmlformats.org/officeDocument/2006/relationships/hyperlink" Target="https://meteor-uat.aihw.gov.au/content/270033" TargetMode="External" Id="R46a5a58ce55547fe" /><Relationship Type="http://schemas.openxmlformats.org/officeDocument/2006/relationships/hyperlink" Target="https://meteor-uat.aihw.gov.au/content/394352" TargetMode="External" Id="Ree5a078924444144" /><Relationship Type="http://schemas.openxmlformats.org/officeDocument/2006/relationships/hyperlink" Target="https://meteor-uat.aihw.gov.au/content/491555" TargetMode="External" Id="R01dc74afb4634188" /><Relationship Type="http://schemas.openxmlformats.org/officeDocument/2006/relationships/hyperlink" Target="https://meteor-uat.aihw.gov.au/content/491557" TargetMode="External" Id="R72b3b2349d8343ec" /><Relationship Type="http://schemas.openxmlformats.org/officeDocument/2006/relationships/hyperlink" Target="https://meteor-uat.aihw.gov.au/content/394352" TargetMode="External" Id="Rfa6f7d72f80b4083" /><Relationship Type="http://schemas.openxmlformats.org/officeDocument/2006/relationships/hyperlink" Target="https://meteor-uat.aihw.gov.au/content/491555" TargetMode="External" Id="Rf7c7bffdf648422c" /><Relationship Type="http://schemas.openxmlformats.org/officeDocument/2006/relationships/hyperlink" Target="https://meteor-uat.aihw.gov.au/content/514273" TargetMode="External" Id="R118fb1729c504753" /><Relationship Type="http://schemas.openxmlformats.org/officeDocument/2006/relationships/hyperlink" Target="https://meteor-uat.aihw.gov.au/content/394352" TargetMode="External" Id="R299be3ba47844ef3" /><Relationship Type="http://schemas.openxmlformats.org/officeDocument/2006/relationships/hyperlink" Target="https://meteor-uat.aihw.gov.au/content/491555" TargetMode="External" Id="Re40cab77d53d40a8" /><Relationship Type="http://schemas.openxmlformats.org/officeDocument/2006/relationships/hyperlink" Target="https://meteor-uat.aihw.gov.au/content/585823" TargetMode="External" Id="R548cc9a3e7fb4d12" /><Relationship Type="http://schemas.openxmlformats.org/officeDocument/2006/relationships/hyperlink" Target="https://meteor-uat.aihw.gov.au/content/585844" TargetMode="External" Id="R4ccd1af5c2ce40e2" /><Relationship Type="http://schemas.openxmlformats.org/officeDocument/2006/relationships/hyperlink" Target="https://meteor-uat.aihw.gov.au/content/269967" TargetMode="External" Id="R643a5e915bbf44ab" /><Relationship Type="http://schemas.openxmlformats.org/officeDocument/2006/relationships/hyperlink" Target="https://meteor-uat.aihw.gov.au/content/394352" TargetMode="External" Id="R0122cb686db14f86" /><Relationship Type="http://schemas.openxmlformats.org/officeDocument/2006/relationships/hyperlink" Target="https://meteor-uat.aihw.gov.au/content/491555" TargetMode="External" Id="R087946f2a2f94dd2" /><Relationship Type="http://schemas.openxmlformats.org/officeDocument/2006/relationships/hyperlink" Target="https://meteor-uat.aihw.gov.au/content/287007" TargetMode="External" Id="R3609bb3a40e24241" /><Relationship Type="http://schemas.openxmlformats.org/officeDocument/2006/relationships/hyperlink" Target="https://meteor-uat.aihw.gov.au/content/394352" TargetMode="External" Id="R7a70d5ecad934708" /><Relationship Type="http://schemas.openxmlformats.org/officeDocument/2006/relationships/hyperlink" Target="https://meteor-uat.aihw.gov.au/content/491555" TargetMode="External" Id="Rdd82f13952604a6f" /><Relationship Type="http://schemas.openxmlformats.org/officeDocument/2006/relationships/hyperlink" Target="https://meteor-uat.aihw.gov.au/content/291036" TargetMode="External" Id="Rdb703839885e4015" /><Relationship Type="http://schemas.openxmlformats.org/officeDocument/2006/relationships/hyperlink" Target="https://meteor-uat.aihw.gov.au/content/394352" TargetMode="External" Id="R09f5862c74934b69" /><Relationship Type="http://schemas.openxmlformats.org/officeDocument/2006/relationships/hyperlink" Target="https://meteor-uat.aihw.gov.au/content/491555" TargetMode="External" Id="Re2bfe58c50bb4597" /><Relationship Type="http://schemas.openxmlformats.org/officeDocument/2006/relationships/hyperlink" Target="https://meteor-uat.aihw.gov.au/content/469909" TargetMode="External" Id="R322085229f41448a" /><Relationship Type="http://schemas.openxmlformats.org/officeDocument/2006/relationships/hyperlink" Target="https://meteor-uat.aihw.gov.au/content/394352" TargetMode="External" Id="Rc74a3654d28e41df" /><Relationship Type="http://schemas.openxmlformats.org/officeDocument/2006/relationships/hyperlink" Target="https://meteor-uat.aihw.gov.au/content/535047" TargetMode="External" Id="R500d6a507fb9498f" /><Relationship Type="http://schemas.openxmlformats.org/officeDocument/2006/relationships/hyperlink" Target="https://meteor-uat.aihw.gov.au/content/657003" TargetMode="External" Id="R29534ca1e0484d68" /><Relationship Type="http://schemas.openxmlformats.org/officeDocument/2006/relationships/hyperlink" Target="https://meteor-uat.aihw.gov.au/content/657007" TargetMode="External" Id="R40007a8e769b474c" /><Relationship Type="http://schemas.openxmlformats.org/officeDocument/2006/relationships/hyperlink" Target="https://meteor-uat.aihw.gov.au/content/657036" TargetMode="External" Id="Rd511df5d19c5455c" /><Relationship Type="http://schemas.openxmlformats.org/officeDocument/2006/relationships/hyperlink" Target="https://meteor-uat.aihw.gov.au/content/585823" TargetMode="External" Id="Rbc41014488b1499c" /><Relationship Type="http://schemas.openxmlformats.org/officeDocument/2006/relationships/hyperlink" Target="https://meteor-uat.aihw.gov.au/content/394352" TargetMode="External" Id="Rf28dc05aeb414bc8" /><Relationship Type="http://schemas.openxmlformats.org/officeDocument/2006/relationships/hyperlink" Target="https://meteor-uat.aihw.gov.au/content/585844" TargetMode="External" Id="Rac70a50536b2456a" /><Relationship Type="http://schemas.openxmlformats.org/officeDocument/2006/relationships/hyperlink" Target="https://meteor-uat.aihw.gov.au/content/657115" TargetMode="External" Id="R1abab9ec236c45ee" /><Relationship Type="http://schemas.openxmlformats.org/officeDocument/2006/relationships/hyperlink" Target="https://meteor-uat.aihw.gov.au/RegistrationAuthority/14" TargetMode="External" Id="Ra97554d88d8e4554" /></Relationships>
</file>

<file path=word/_rels/header1.xml.rels>&#65279;<?xml version="1.0" encoding="utf-8"?><Relationships xmlns="http://schemas.openxmlformats.org/package/2006/relationships"><Relationship Type="http://schemas.openxmlformats.org/officeDocument/2006/relationships/image" Target="/media/image.png" Id="R524e58765b5c42f8" /></Relationships>
</file>