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2471391c6d4b69" /></Relationships>
</file>

<file path=word/document.xml><?xml version="1.0" encoding="utf-8"?>
<w:document xmlns:r="http://schemas.openxmlformats.org/officeDocument/2006/relationships" xmlns:w="http://schemas.openxmlformats.org/wordprocessingml/2006/main">
  <w:body>
    <w:p>
      <w:pPr>
        <w:pStyle w:val="Title"/>
      </w:pPr>
      <w:r>
        <w:t>Children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686ee51e9c4a5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Children Cluster defines information about recipients of Centrelink benefits who have children for whom they are eligible to receive a Family Tax Benefit (FTB) payment, a Double Orphan Pension or a Multiple Birth Allowance.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d4afb6067184809">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Family Tax Benefit Part A or B</w:t>
            </w:r>
          </w:p>
          <w:p>
            <w:pPr>
              <w:spacing w:after="160"/>
            </w:pPr>
            <w:r>
              <w:rPr>
                <w:rStyle w:val="row-content-rich-text"/>
              </w:rPr>
              <w:t xml:space="preserve">A FTB payment is a two-part payment that helps with the cost of raising children. To be eligible for the payment a recipient must:</w:t>
            </w:r>
          </w:p>
          <w:p>
            <w:pPr>
              <w:pStyle w:val="ListParagraph"/>
              <w:numPr>
                <w:ilvl w:val="0"/>
                <w:numId w:val="2"/>
              </w:numPr>
            </w:pPr>
            <w:r>
              <w:rPr>
                <w:rStyle w:val="row-content-rich-text"/>
              </w:rPr>
              <w:t xml:space="preserve">have a dependent child (aged 0</w:t>
            </w:r>
            <w:r>
              <w:rPr>
                <w:rStyle w:val="row-content-rich-text"/>
              </w:rPr>
              <w:t xml:space="preserve">–</w:t>
            </w:r>
            <w:r>
              <w:rPr>
                <w:rStyle w:val="row-content-rich-text"/>
              </w:rPr>
              <w:t xml:space="preserve">15 years), or secondary student younger than 20 years of age who is not receiving a pension, payment or benefit such as Youth Allowance</w:t>
            </w:r>
          </w:p>
          <w:p>
            <w:pPr>
              <w:pStyle w:val="ListParagraph"/>
              <w:numPr>
                <w:ilvl w:val="0"/>
                <w:numId w:val="2"/>
              </w:numPr>
            </w:pPr>
            <w:r>
              <w:rPr>
                <w:rStyle w:val="row-content-rich-text"/>
              </w:rPr>
              <w:t xml:space="preserve">provide care for the child for at least 35% of the time</w:t>
            </w:r>
          </w:p>
          <w:p>
            <w:pPr>
              <w:pStyle w:val="ListParagraph"/>
              <w:numPr>
                <w:ilvl w:val="0"/>
                <w:numId w:val="2"/>
              </w:numPr>
            </w:pPr>
            <w:r>
              <w:rPr>
                <w:rStyle w:val="row-content-rich-text"/>
              </w:rPr>
              <w:t xml:space="preserve">meet an income test.</w:t>
            </w:r>
          </w:p>
          <w:p>
            <w:pPr>
              <w:spacing w:after="160"/>
            </w:pPr>
            <w:r>
              <w:rPr>
                <w:rStyle w:val="row-content-rich-text"/>
              </w:rPr>
              <w:t xml:space="preserve">A young person aged 19 can be an FTB child up to the end of the calendar year in which they turn 19, as long as they are in full-time secondary study.</w:t>
            </w:r>
          </w:p>
          <w:p>
            <w:pPr>
              <w:spacing w:after="160"/>
            </w:pPr>
            <w:r>
              <w:rPr>
                <w:rStyle w:val="row-content-rich-text"/>
                <w:b/>
              </w:rPr>
              <w:t xml:space="preserve">Double Orphan Pension</w:t>
            </w:r>
          </w:p>
          <w:p>
            <w:pPr>
              <w:spacing w:after="160"/>
            </w:pPr>
            <w:r>
              <w:rPr>
                <w:rStyle w:val="row-content-rich-text"/>
              </w:rPr>
              <w:t xml:space="preserve">The Double Orphan Pension is a payment to a recipient who cares for a child where:</w:t>
            </w:r>
          </w:p>
          <w:p>
            <w:pPr>
              <w:pStyle w:val="ListParagraph"/>
              <w:numPr>
                <w:ilvl w:val="0"/>
                <w:numId w:val="3"/>
              </w:numPr>
            </w:pPr>
            <w:r>
              <w:rPr>
                <w:rStyle w:val="row-content-rich-text"/>
              </w:rPr>
              <w:t xml:space="preserve">both parents deceased, or</w:t>
            </w:r>
          </w:p>
          <w:p>
            <w:pPr>
              <w:pStyle w:val="ListParagraph"/>
              <w:numPr>
                <w:ilvl w:val="0"/>
                <w:numId w:val="3"/>
              </w:numPr>
            </w:pPr>
            <w:r>
              <w:rPr>
                <w:rStyle w:val="row-content-rich-text"/>
              </w:rPr>
              <w:t xml:space="preserve">one parent is deceased and the other parent is: in prison for at least 10 years, or held on remand and charged with an offence that may be punishable by imprisonment for a term of at least 10 years, or in a psychiatric hospital or nursing home for an indefinite period of time, or uncontactable, that is, whose whereabouts are unknown, or</w:t>
            </w:r>
          </w:p>
          <w:p>
            <w:pPr>
              <w:pStyle w:val="ListParagraph"/>
              <w:numPr>
                <w:ilvl w:val="0"/>
                <w:numId w:val="3"/>
              </w:numPr>
            </w:pPr>
            <w:r>
              <w:rPr>
                <w:rStyle w:val="row-content-rich-text"/>
              </w:rPr>
              <w:t xml:space="preserve">both parents live outside Australia or their whereabouts are unknown, and the child has been granted refugee status by the Australian Government, or admitted into Australia under a special humanitarian program approved by the Minister with portfolio responsibility and has not at any time lived in Australia with either or both parents.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9714030fbc4738">
              <w:r>
                <w:rPr>
                  <w:rStyle w:val="Hyperlink"/>
                </w:rPr>
                <w:t xml:space="preserve">Priority investment approach research DSS</w:t>
              </w:r>
            </w:hyperlink>
          </w:p>
          <w:p>
            <w:pPr>
              <w:pStyle w:val="registration-status"/>
              <w:spacing w:before="0" w:after="0"/>
            </w:pPr>
            <w:hyperlink w:history="true" r:id="Rde4c4a87f8a04e2d">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 Conditional on the recipient having dependent children.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977e4ea2f64414a">
                    <w:r>
                      <w:rPr>
                        <w:rStyle w:val="Hyperlink"/>
                      </w:rPr>
                      <w:t xml:space="preserve">Recipient—family tax benefit child, total number N[N]</w:t>
                    </w:r>
                  </w:hyperlink>
                </w:p>
                <w:p>
                  <w:r>
                    <w:rPr>
                      <w:b/>
                      <w:i/>
                      <w:color w:val="333333"/>
                    </w:rPr>
                    <w:t xml:space="preserve">Conditional obligation:</w:t>
                  </w:r>
                </w:p>
                <w:p>
                  <w:r>
                    <w:t xml:space="preserve">Conditional on the recipient being eligible for family tax benefit.</w:t>
                  </w:r>
                </w:p>
                <w:p>
                  <w:r>
                    <w:rPr>
                      <w:b/>
                      <w:i/>
                      <w:color w:val="333333"/>
                    </w:rPr>
                    <w:t xml:space="preserve">DSS specific information:</w:t>
                  </w:r>
                </w:p>
                <w:p>
                  <w:r>
                    <w:t xml:space="preserve">Number of Family Tax Benefit children refers to the variable NUM_FTB_CHILD in the PIA research data set.</w:t>
                  </w:r>
                </w:p>
                <w:p>
                  <w:r>
                    <w:t xml:space="preserve">Up to 16 children may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40f616af85b4941">
                    <w:r>
                      <w:rPr>
                        <w:rStyle w:val="Hyperlink"/>
                      </w:rPr>
                      <w:t xml:space="preserve">Recipient—youngest family tax benefit child date of birth, MMYYYY</w:t>
                    </w:r>
                  </w:hyperlink>
                </w:p>
                <w:p>
                  <w:r>
                    <w:rPr>
                      <w:b/>
                      <w:i/>
                      <w:color w:val="333333"/>
                    </w:rPr>
                    <w:t xml:space="preserve">Conditional obligation:</w:t>
                  </w:r>
                </w:p>
                <w:p>
                  <w:r>
                    <w:t xml:space="preserve">Conditional on the recipient being eligible for family tax benefit.</w:t>
                  </w:r>
                </w:p>
                <w:p>
                  <w:r>
                    <w:rPr>
                      <w:b/>
                      <w:i/>
                      <w:color w:val="333333"/>
                    </w:rPr>
                    <w:t xml:space="preserve">DSS specific information:</w:t>
                  </w:r>
                </w:p>
                <w:p>
                  <w:r>
                    <w:t xml:space="preserve">Youngest Family Tax Benefit child date of birth refers to the variable YGEST_FTB_CHD_DOB_SHORT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476c6510bbb475b">
                    <w:r>
                      <w:rPr>
                        <w:rStyle w:val="Hyperlink"/>
                      </w:rPr>
                      <w:t xml:space="preserve">Recipient—regular care child, total number N[N]</w:t>
                    </w:r>
                  </w:hyperlink>
                </w:p>
                <w:p>
                  <w:r>
                    <w:rPr>
                      <w:b/>
                      <w:i/>
                      <w:color w:val="333333"/>
                    </w:rPr>
                    <w:t xml:space="preserve">Conditional obligation:</w:t>
                  </w:r>
                </w:p>
                <w:p>
                  <w:r>
                    <w:t xml:space="preserve">Conditional on the recipient having care of a child between 14% and 34% of the time.</w:t>
                  </w:r>
                </w:p>
                <w:p>
                  <w:r>
                    <w:rPr>
                      <w:b/>
                      <w:i/>
                      <w:color w:val="333333"/>
                    </w:rPr>
                    <w:t xml:space="preserve">DSS specific information:</w:t>
                  </w:r>
                </w:p>
                <w:p>
                  <w:r>
                    <w:t xml:space="preserve">Number of regular care children refers to the variable NUM_RCC_CHILD in the PIA research data set.</w:t>
                  </w:r>
                </w:p>
                <w:p>
                  <w:r>
                    <w:t xml:space="preserve">Up to 16 children may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27a4d4ec2374164">
                    <w:r>
                      <w:rPr>
                        <w:rStyle w:val="Hyperlink"/>
                      </w:rPr>
                      <w:t xml:space="preserve">Recipient—youngest regular care child date of birth, MMYYYY</w:t>
                    </w:r>
                  </w:hyperlink>
                </w:p>
                <w:p>
                  <w:r>
                    <w:rPr>
                      <w:b/>
                      <w:i/>
                      <w:color w:val="333333"/>
                    </w:rPr>
                    <w:t xml:space="preserve">Conditional obligation:</w:t>
                  </w:r>
                </w:p>
                <w:p>
                  <w:r>
                    <w:t xml:space="preserve">Conditional on the recipient having care of a child between 14% and 34% of the time.</w:t>
                  </w:r>
                </w:p>
                <w:p>
                  <w:r>
                    <w:rPr>
                      <w:b/>
                      <w:i/>
                      <w:color w:val="333333"/>
                    </w:rPr>
                    <w:t xml:space="preserve">DSS specific information:</w:t>
                  </w:r>
                </w:p>
                <w:p>
                  <w:r>
                    <w:t xml:space="preserve">Youngest regular care child date of birth refers to the variable YGEST_RCC_CHD_DOB_SHORT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ea13188ff8b4ce3">
                    <w:r>
                      <w:rPr>
                        <w:rStyle w:val="Hyperlink"/>
                      </w:rPr>
                      <w:t xml:space="preserve">Recipient—Double Orphan Pension eligibility indicator, yes/missing code A</w:t>
                    </w:r>
                  </w:hyperlink>
                </w:p>
                <w:p>
                  <w:r>
                    <w:rPr>
                      <w:b/>
                      <w:i/>
                      <w:color w:val="333333"/>
                    </w:rPr>
                    <w:t xml:space="preserve">DSS specific information:</w:t>
                  </w:r>
                </w:p>
                <w:p>
                  <w:r>
                    <w:t xml:space="preserve">Double Orphan Pension eligibility indicator refers to the variable FTB_DOP_ELIG_IND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b915a2563404c32">
                    <w:r>
                      <w:rPr>
                        <w:rStyle w:val="Hyperlink"/>
                      </w:rPr>
                      <w:t xml:space="preserve">Recipient—multiple birth indicator, yes/missing code A</w:t>
                    </w:r>
                  </w:hyperlink>
                </w:p>
                <w:p>
                  <w:r>
                    <w:rPr>
                      <w:b/>
                      <w:i/>
                      <w:color w:val="333333"/>
                    </w:rPr>
                    <w:t xml:space="preserve">DSS specific information:</w:t>
                  </w:r>
                </w:p>
                <w:p>
                  <w:r>
                    <w:t xml:space="preserve">Multiple birth indicator refers to the variable MUL_BIRTH_ELIG_IND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9bbfc7e82854f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650587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bc7bbff9c54b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bbfc7e82854f9d" /><Relationship Type="http://schemas.openxmlformats.org/officeDocument/2006/relationships/header" Target="/word/header1.xml" Id="Re58c10685a374d0a" /><Relationship Type="http://schemas.openxmlformats.org/officeDocument/2006/relationships/settings" Target="/word/settings.xml" Id="R71e543028465414e" /><Relationship Type="http://schemas.openxmlformats.org/officeDocument/2006/relationships/styles" Target="/word/styles.xml" Id="Rc2495ec8d1804d50" /><Relationship Type="http://schemas.openxmlformats.org/officeDocument/2006/relationships/numbering" Target="/word/numbering.xml" Id="Reab645acc1444244" /><Relationship Type="http://schemas.openxmlformats.org/officeDocument/2006/relationships/hyperlink" Target="https://meteor-uat.aihw.gov.au/RegistrationAuthority/7" TargetMode="External" Id="R5a686ee51e9c4a59" /><Relationship Type="http://schemas.openxmlformats.org/officeDocument/2006/relationships/hyperlink" Target="https://meteor-uat.aihw.gov.au/content/645097" TargetMode="External" Id="Rbd4afb6067184809" /><Relationship Type="http://schemas.openxmlformats.org/officeDocument/2006/relationships/hyperlink" Target="https://meteor-uat.aihw.gov.au/content/650525" TargetMode="External" Id="Rd39714030fbc4738" /><Relationship Type="http://schemas.openxmlformats.org/officeDocument/2006/relationships/hyperlink" Target="https://meteor-uat.aihw.gov.au/RegistrationAuthority/7" TargetMode="External" Id="Rde4c4a87f8a04e2d" /><Relationship Type="http://schemas.openxmlformats.org/officeDocument/2006/relationships/hyperlink" Target="https://meteor-uat.aihw.gov.au/content/646981" TargetMode="External" Id="Rc977e4ea2f64414a" /><Relationship Type="http://schemas.openxmlformats.org/officeDocument/2006/relationships/hyperlink" Target="https://meteor-uat.aihw.gov.au/content/660527" TargetMode="External" Id="Rf40f616af85b4941" /><Relationship Type="http://schemas.openxmlformats.org/officeDocument/2006/relationships/hyperlink" Target="https://meteor-uat.aihw.gov.au/content/646987" TargetMode="External" Id="Ra476c6510bbb475b" /><Relationship Type="http://schemas.openxmlformats.org/officeDocument/2006/relationships/hyperlink" Target="https://meteor-uat.aihw.gov.au/content/660538" TargetMode="External" Id="R427a4d4ec2374164" /><Relationship Type="http://schemas.openxmlformats.org/officeDocument/2006/relationships/hyperlink" Target="https://meteor-uat.aihw.gov.au/content/647537" TargetMode="External" Id="Rcea13188ff8b4ce3" /><Relationship Type="http://schemas.openxmlformats.org/officeDocument/2006/relationships/hyperlink" Target="https://meteor-uat.aihw.gov.au/content/633005" TargetMode="External" Id="R9b915a2563404c32" /></Relationships>
</file>

<file path=word/_rels/header1.xml.rels>&#65279;<?xml version="1.0" encoding="utf-8"?><Relationships xmlns="http://schemas.openxmlformats.org/package/2006/relationships"><Relationship Type="http://schemas.openxmlformats.org/officeDocument/2006/relationships/image" Target="/media/image.png" Id="R04bc7bbff9c54b75" /></Relationships>
</file>