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65b268f3e740df" /></Relationships>
</file>

<file path=word/document.xml><?xml version="1.0" encoding="utf-8"?>
<w:document xmlns:r="http://schemas.openxmlformats.org/officeDocument/2006/relationships" xmlns:w="http://schemas.openxmlformats.org/wordprocessingml/2006/main">
  <w:body>
    <w:p>
      <w:pPr>
        <w:pStyle w:val="Title"/>
      </w:pPr>
      <w:r>
        <w:t>Blindness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f3cfb38324e1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permanent blindness. An individual is permanently blind if:</w:t>
            </w:r>
          </w:p>
          <w:p>
            <w:pPr>
              <w:pStyle w:val="ListParagraph"/>
              <w:numPr>
                <w:ilvl w:val="0"/>
                <w:numId w:val="2"/>
              </w:numPr>
            </w:pPr>
            <w:r>
              <w:rPr>
                <w:rStyle w:val="row-content-rich-text"/>
              </w:rPr>
              <w:t xml:space="preserve">visual acuity on the Snellen Scale after correction by suitable lenses is less than 6/60 in both eyes;</w:t>
            </w:r>
          </w:p>
          <w:p>
            <w:pPr>
              <w:pStyle w:val="ListParagraph"/>
              <w:numPr>
                <w:ilvl w:val="0"/>
                <w:numId w:val="2"/>
              </w:numPr>
            </w:pPr>
            <w:r>
              <w:rPr>
                <w:rStyle w:val="row-content-rich-text"/>
              </w:rPr>
              <w:t xml:space="preserve">a field of vision constricted to 10 degrees or less of arc around central fixation in the better eye irrespective of corrected visual acuity (equivalent to 1/100 white test object);</w:t>
            </w:r>
          </w:p>
          <w:p>
            <w:pPr>
              <w:pStyle w:val="ListParagraph"/>
              <w:numPr>
                <w:ilvl w:val="0"/>
                <w:numId w:val="2"/>
              </w:numPr>
            </w:pPr>
            <w:r>
              <w:rPr>
                <w:rStyle w:val="row-content-rich-text"/>
              </w:rPr>
              <w:t xml:space="preserve">a combination of visual defects resulting in the same degree of visual impairment as that occurring in the above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b44ebfcf8b412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2016. Guide to Social Security Law. 3.6.2.40 Assessment of Blindness for DSP. Viewed 27 September 2016, </w:t>
            </w:r>
            <w:hyperlink w:history="true" r:id="R68ba9eb3a99045ae">
              <w:r>
                <w:rPr>
                  <w:rStyle w:val="Hyperlink"/>
                </w:rPr>
                <w:t xml:space="preserve">http://guides.dss.gov.au/guide-social-security-law/3/6/2/40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3df1f3601d416c">
              <w:r>
                <w:rPr>
                  <w:rStyle w:val="Hyperlink"/>
                </w:rPr>
                <w:t xml:space="preserve">Recipient—blindness indicator</w:t>
              </w:r>
            </w:hyperlink>
          </w:p>
          <w:p>
            <w:pPr>
              <w:pStyle w:val="registration-status"/>
              <w:spacing w:before="0" w:after="0"/>
            </w:pPr>
            <w:hyperlink w:history="true" r:id="Rc96af3031b824aa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e75f0e0d3a3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dbcaa656d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5f0e0d3a3486b" /><Relationship Type="http://schemas.openxmlformats.org/officeDocument/2006/relationships/header" Target="/word/header1.xml" Id="Rbc8f87e31ac84da3" /><Relationship Type="http://schemas.openxmlformats.org/officeDocument/2006/relationships/settings" Target="/word/settings.xml" Id="R8c3efb6f03e94212" /><Relationship Type="http://schemas.openxmlformats.org/officeDocument/2006/relationships/styles" Target="/word/styles.xml" Id="R9a9522b6c3b14fe7" /><Relationship Type="http://schemas.openxmlformats.org/officeDocument/2006/relationships/numbering" Target="/word/numbering.xml" Id="R3614c9300e424831" /><Relationship Type="http://schemas.openxmlformats.org/officeDocument/2006/relationships/hyperlink" Target="https://meteor-uat.aihw.gov.au/RegistrationAuthority/7" TargetMode="External" Id="R2fdf3cfb38324e18" /><Relationship Type="http://schemas.openxmlformats.org/officeDocument/2006/relationships/hyperlink" Target="https://meteor-uat.aihw.gov.au/content/525483" TargetMode="External" Id="R88b44ebfcf8b4129" /><Relationship Type="http://schemas.openxmlformats.org/officeDocument/2006/relationships/hyperlink" Target="http://guides.dss.gov.au/guide-social-security-law/3/6/2/40" TargetMode="External" Id="R68ba9eb3a99045ae" /><Relationship Type="http://schemas.openxmlformats.org/officeDocument/2006/relationships/hyperlink" Target="https://meteor-uat.aihw.gov.au/content/647393" TargetMode="External" Id="R6e3df1f3601d416c" /><Relationship Type="http://schemas.openxmlformats.org/officeDocument/2006/relationships/hyperlink" Target="https://meteor-uat.aihw.gov.au/RegistrationAuthority/7" TargetMode="External" Id="Rc96af3031b824aaf" /></Relationships>
</file>

<file path=word/_rels/header1.xml.rels>&#65279;<?xml version="1.0" encoding="utf-8"?><Relationships xmlns="http://schemas.openxmlformats.org/package/2006/relationships"><Relationship Type="http://schemas.openxmlformats.org/officeDocument/2006/relationships/image" Target="/media/image.png" Id="R7cedbcaa656d48c3" /></Relationships>
</file>