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14256bc2546c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2e7661713314416">
                    <w:r>
                      <w:rPr>
                        <w:rStyle w:val="Hyperlink"/>
                      </w:rPr>
                      <w:t xml:space="preserve">Additional diagnosis</w:t>
                    </w:r>
                  </w:hyperlink>
                </w:p>
              </w:tc>
              <w:tc>
                <w:tcPr>
                  <w:vAlign w:val="top"/>
                </w:tcPr>
                <w:p>
                  <w:r>
                    <w:t xml:space="preserve">641014</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511dbcc08224a61">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bd0c11ba0627495b">
                    <w:r>
                      <w:rPr>
                        <w:rStyle w:val="Hyperlink"/>
                      </w:rPr>
                      <w:t xml:space="preserve">Principal diagnosis</w:t>
                    </w:r>
                  </w:hyperlink>
                </w:p>
              </w:tc>
              <w:tc>
                <w:tcPr>
                  <w:vAlign w:val="top"/>
                </w:tcPr>
                <w:p>
                  <w:r>
                    <w:t xml:space="preserve">640978</w:t>
                  </w:r>
                </w:p>
              </w:tc>
              <w:tc>
                <w:tcPr>
                  <w:vAlign w:val="top"/>
                </w:tcPr>
                <w:p>
                  <w:r>
                    <w:t xml:space="preserve">String
[6]</w:t>
                  </w:r>
                </w:p>
              </w:tc>
              <w:tc>
                <w:tcPr>
                  <w:vAlign w:val="top"/>
                </w:tcPr>
                <w:p>
                  <w:r>
                    <w:t xml:space="preserve">ANN{.N[N]}</w:t>
                  </w:r>
                  <w:r>
                    <w:br/>
                  </w:r>
                </w:p>
                <w:p>
                  <w:r>
                    <w:t xml:space="preserve">The ICD-10-AM (10th edition) code set representing diagnoses.</w:t>
                  </w:r>
                </w:p>
              </w:tc>
            </w:tr>
            <w:tr>
              <w:trPr/>
              <w:tc>
                <w:tcPr>
                  <w:tcMar>
                    <w:right w:w="29" w:type="dxa"/>
                  </w:tcMar>
                  <w:vAlign w:val="top"/>
                </w:tcPr>
                <w:p>
                  <w:pPr>
                    <w:keepNext/>
                    <w:jc w:val="center"/>
                  </w:pPr>
                  <w:r>
                    <w:t xml:space="preserve">-</w:t>
                  </w:r>
                </w:p>
              </w:tc>
              <w:tc>
                <w:tcPr>
                  <w:tcMar/>
                  <w:vAlign w:val="top"/>
                </w:tcPr>
                <w:p>
                  <w:hyperlink w:history="true" r:id="R0d3c824a572f4257">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4903a09abf84106">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9ef14850f444a1">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bb81c84793d4b1a">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483d4d04c04ce6">
                    <w:r>
                      <w:rPr>
                        <w:rStyle w:val="Hyperlink"/>
                      </w:rPr>
                      <w:t xml:space="preserve">Mental health care referral destination</w:t>
                    </w:r>
                  </w:hyperlink>
                </w:p>
              </w:tc>
              <w:tc>
                <w:tcPr>
                  <w:vAlign w:val="top"/>
                </w:tcPr>
                <w:p>
                  <w:r>
                    <w:t xml:space="preserve">564573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91d073c0454ddf">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7280b2f2f074e20">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2456338c98344ae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d7732b660ea41f4">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6ee14edc9a24e5a">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24c17f007dc4884">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d06e388596f9436f">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72a2521185e4fa5">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06cf5dbd5411451f">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7eff9f83309c42f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7b398ae0c004016">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5adc8957b946a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f5b166cf974d2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170521465e84fb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666713a8124ee1">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21a663956b34899">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060443c76f14c97">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2586497948c409b">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5da924a838354ef6">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db79fa4705ac421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7d2ddd14f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9fa4705ac421a" /><Relationship Type="http://schemas.openxmlformats.org/officeDocument/2006/relationships/header" Target="/word/header1.xml" Id="R47508098ad4c4fc4" /><Relationship Type="http://schemas.openxmlformats.org/officeDocument/2006/relationships/settings" Target="/word/settings.xml" Id="R4e38804076b248e4" /><Relationship Type="http://schemas.openxmlformats.org/officeDocument/2006/relationships/styles" Target="/word/styles.xml" Id="Rb3e012b387f94008" /><Relationship Type="http://schemas.openxmlformats.org/officeDocument/2006/relationships/hyperlink" Target="https://meteor-uat.aihw.gov.au/content/641014" TargetMode="External" Id="R42e7661713314416" /><Relationship Type="http://schemas.openxmlformats.org/officeDocument/2006/relationships/hyperlink" Target="https://meteor-uat.aihw.gov.au/content/534063" TargetMode="External" Id="R2511dbcc08224a61" /><Relationship Type="http://schemas.openxmlformats.org/officeDocument/2006/relationships/hyperlink" Target="https://meteor-uat.aihw.gov.au/content/640978" TargetMode="External" Id="Rbd0c11ba0627495b" /><Relationship Type="http://schemas.openxmlformats.org/officeDocument/2006/relationships/hyperlink" Target="https://meteor-uat.aihw.gov.au/content/534037" TargetMode="External" Id="R0d3c824a572f4257" /><Relationship Type="http://schemas.openxmlformats.org/officeDocument/2006/relationships/hyperlink" Target="https://meteor-uat.aihw.gov.au/content/524966" TargetMode="External" Id="Rd4903a09abf84106" /><Relationship Type="http://schemas.openxmlformats.org/officeDocument/2006/relationships/hyperlink" Target="https://meteor-uat.aihw.gov.au/content/534048" TargetMode="External" Id="R6a9ef14850f444a1" /><Relationship Type="http://schemas.openxmlformats.org/officeDocument/2006/relationships/hyperlink" Target="https://meteor-uat.aihw.gov.au/content/525026" TargetMode="External" Id="R2bb81c84793d4b1a" /><Relationship Type="http://schemas.openxmlformats.org/officeDocument/2006/relationships/hyperlink" Target="https://meteor-uat.aihw.gov.au/content/564573" TargetMode="External" Id="R69483d4d04c04ce6" /><Relationship Type="http://schemas.openxmlformats.org/officeDocument/2006/relationships/hyperlink" Target="https://meteor-uat.aihw.gov.au/content/534017" TargetMode="External" Id="R5191d073c0454ddf" /><Relationship Type="http://schemas.openxmlformats.org/officeDocument/2006/relationships/hyperlink" Target="https://meteor-uat.aihw.gov.au/content/269941" TargetMode="External" Id="R27280b2f2f074e20" /><Relationship Type="http://schemas.openxmlformats.org/officeDocument/2006/relationships/hyperlink" Target="https://meteor-uat.aihw.gov.au/content/269940" TargetMode="External" Id="R2456338c98344aec" /><Relationship Type="http://schemas.openxmlformats.org/officeDocument/2006/relationships/hyperlink" Target="https://meteor-uat.aihw.gov.au/content/407187" TargetMode="External" Id="R5d7732b660ea41f4" /><Relationship Type="http://schemas.openxmlformats.org/officeDocument/2006/relationships/hyperlink" Target="https://meteor-uat.aihw.gov.au/content/269977" TargetMode="External" Id="Ra6ee14edc9a24e5a" /><Relationship Type="http://schemas.openxmlformats.org/officeDocument/2006/relationships/hyperlink" Target="https://meteor-uat.aihw.gov.au/content/404858" TargetMode="External" Id="R824c17f007dc4884" /><Relationship Type="http://schemas.openxmlformats.org/officeDocument/2006/relationships/hyperlink" Target="https://meteor-uat.aihw.gov.au/content/409209" TargetMode="External" Id="Rd06e388596f9436f" /><Relationship Type="http://schemas.openxmlformats.org/officeDocument/2006/relationships/hyperlink" Target="https://meteor-uat.aihw.gov.au/content/659725" TargetMode="External" Id="Rf72a2521185e4fa5" /><Relationship Type="http://schemas.openxmlformats.org/officeDocument/2006/relationships/hyperlink" Target="https://meteor-uat.aihw.gov.au/content/659454" TargetMode="External" Id="R06cf5dbd5411451f" /><Relationship Type="http://schemas.openxmlformats.org/officeDocument/2006/relationships/hyperlink" Target="https://meteor-uat.aihw.gov.au/content/287007" TargetMode="External" Id="R7eff9f83309c42f3" /><Relationship Type="http://schemas.openxmlformats.org/officeDocument/2006/relationships/hyperlink" Target="https://meteor-uat.aihw.gov.au/content/602543" TargetMode="External" Id="Ra7b398ae0c004016" /><Relationship Type="http://schemas.openxmlformats.org/officeDocument/2006/relationships/hyperlink" Target="https://meteor-uat.aihw.gov.au/content/291045" TargetMode="External" Id="R115adc8957b946a5" /><Relationship Type="http://schemas.openxmlformats.org/officeDocument/2006/relationships/hyperlink" Target="https://meteor-uat.aihw.gov.au/content/290046" TargetMode="External" Id="R29f5b166cf974d27" /><Relationship Type="http://schemas.openxmlformats.org/officeDocument/2006/relationships/hyperlink" Target="https://meteor-uat.aihw.gov.au/content/287316" TargetMode="External" Id="R1170521465e84fb0" /><Relationship Type="http://schemas.openxmlformats.org/officeDocument/2006/relationships/hyperlink" Target="https://meteor-uat.aihw.gov.au/content/534061" TargetMode="External" Id="R36666713a8124ee1" /><Relationship Type="http://schemas.openxmlformats.org/officeDocument/2006/relationships/hyperlink" Target="https://meteor-uat.aihw.gov.au/content/404186" TargetMode="External" Id="Rb21a663956b34899" /><Relationship Type="http://schemas.openxmlformats.org/officeDocument/2006/relationships/hyperlink" Target="https://meteor-uat.aihw.gov.au/content/405767" TargetMode="External" Id="R5060443c76f14c97" /><Relationship Type="http://schemas.openxmlformats.org/officeDocument/2006/relationships/hyperlink" Target="https://meteor-uat.aihw.gov.au/content/404837" TargetMode="External" Id="Rf2586497948c409b" /><Relationship Type="http://schemas.openxmlformats.org/officeDocument/2006/relationships/hyperlink" Target="https://meteor-uat.aihw.gov.au/content/407496" TargetMode="External" Id="R5da924a838354ef6" /></Relationships>
</file>

<file path=word/_rels/header1.xml.rels>&#65279;<?xml version="1.0" encoding="utf-8"?><Relationships xmlns="http://schemas.openxmlformats.org/package/2006/relationships"><Relationship Type="http://schemas.openxmlformats.org/officeDocument/2006/relationships/image" Target="/media/image.png" Id="R26a7d2ddd14f4334" /></Relationships>
</file>