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5bab5198bd4a4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650657a8a475b">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per cent or more of the time, by Indigenous status.</w:t>
            </w:r>
          </w:p>
          <w:p>
            <w:pPr/>
            <w:r>
              <w:rPr>
                <w:rStyle w:val="row-content-rich-text"/>
              </w:rPr>
              <w:t xml:space="preserve">Supplementary measure (c) Number and proportion of schools achieving 90 per cent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7018d17c61428f">
              <w:r>
                <w:rPr>
                  <w:rStyle w:val="Hyperlink"/>
                </w:rPr>
                <w:t xml:space="preserve">National Indigenous Reform Agreement (2017)</w:t>
              </w:r>
            </w:hyperlink>
          </w:p>
          <w:p>
            <w:pPr>
              <w:pStyle w:val="registration-status"/>
              <w:spacing w:before="0" w:after="0"/>
            </w:pPr>
            <w:hyperlink w:history="true" r:id="R23e2d4135cc1492b">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1e450b4163415f">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bd02624585fb499e">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dffecddebf24779">
              <w:r>
                <w:rPr>
                  <w:rStyle w:val="Hyperlink"/>
                </w:rPr>
                <w:t xml:space="preserve">National Indigenous Reform Agreement: PI 13-Attendance rates Year 1 to Year 10, 2015-16; Quality Statement</w:t>
              </w:r>
            </w:hyperlink>
          </w:p>
          <w:p>
            <w:pPr>
              <w:pStyle w:val="registration-status"/>
              <w:spacing w:before="0" w:after="0"/>
            </w:pPr>
            <w:hyperlink w:history="true" r:id="R921c81a445a0484a">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100 x (Numerator ÷ Denominator).</w:t>
            </w:r>
          </w:p>
          <w:p>
            <w:pPr>
              <w:spacing w:after="160"/>
            </w:pPr>
            <w:r>
              <w:rPr>
                <w:rStyle w:val="row-content-rich-text"/>
                <w:u w:val="single"/>
              </w:rPr>
              <w:t xml:space="preserve">Measure (b)</w:t>
            </w:r>
          </w:p>
          <w:p>
            <w:pPr>
              <w:spacing w:after="160"/>
            </w:pPr>
            <w:r>
              <w:rPr>
                <w:rStyle w:val="row-content-rich-text"/>
              </w:rPr>
              <w:t xml:space="preserve">Numerator ÷ Denominator</w:t>
            </w:r>
          </w:p>
          <w:p>
            <w:pPr>
              <w:spacing w:after="160"/>
            </w:pPr>
            <w:r>
              <w:rPr>
                <w:rStyle w:val="row-content-rich-text"/>
                <w:u w:val="single"/>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actual days in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for students attending more than or equal to 90 per cent of possible days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for which the average attendance rate for Indigenous students in years 1–10 is 90 per cent or more</w:t>
            </w:r>
          </w:p>
          <w:p>
            <w:pPr>
              <w:spacing w:after="160"/>
            </w:pPr>
            <w:r>
              <w:rPr>
                <w:rStyle w:val="row-content-rich-text"/>
              </w:rPr>
              <w:t xml:space="preserve">(non-Indigenous) Aggregate number of schools for which the average attendance rate for non-Indigenous students in years 1–10 is 90 per cent or more.</w:t>
            </w:r>
          </w:p>
          <w:p>
            <w:pPr/>
            <w:r>
              <w:rPr>
                <w:rStyle w:val="row-content-rich-text"/>
              </w:rPr>
              <w:t xml:space="preserve">[1] See </w:t>
            </w:r>
            <w:hyperlink w:history="true" r:id="R16bf1b5b82ed4e42">
              <w:r>
                <w:rPr>
                  <w:rStyle w:val="Hyperlink"/>
                </w:rPr>
                <w:t xml:space="preserve">National Standards for Student Attendance Data Reporting</w:t>
              </w:r>
            </w:hyperlink>
            <w:r>
              <w:rPr>
                <w:rStyle w:val="row-content-rich-text"/>
              </w:rPr>
              <w:t xml:space="preserve"> Section 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227ee4cf23fa46c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per cent or more of the time.</w:t>
            </w:r>
          </w:p>
          <w:p>
            <w:r>
              <w:rPr>
                <w:rStyle w:val="row-content"/>
                <w:b/>
              </w:rPr>
              <w:t xml:space="preserve">Data Source</w:t>
            </w:r>
          </w:p>
          <w:p>
            <w:hyperlink w:history="true" r:id="Rd865fac9445e453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per cent or more of the time.</w:t>
            </w:r>
          </w:p>
          <w:p>
            <w:r>
              <w:rPr>
                <w:rStyle w:val="row-content"/>
                <w:b/>
              </w:rPr>
              <w:t xml:space="preserve">Data Source</w:t>
            </w:r>
          </w:p>
          <w:p>
            <w:hyperlink w:history="true" r:id="R62aa167545f5485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per cent or more of actual days of school.</w:t>
            </w:r>
          </w:p>
          <w:p>
            <w:r>
              <w:rPr>
                <w:rStyle w:val="row-content"/>
                <w:b/>
              </w:rPr>
              <w:t xml:space="preserve">Data Source</w:t>
            </w:r>
          </w:p>
          <w:p>
            <w:hyperlink w:history="true" r:id="Rfb62acde1af8404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6deb635308c2449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possible days for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reporting Indigenous student attendance rates for years 1–10.</w:t>
            </w:r>
          </w:p>
          <w:p>
            <w:pPr>
              <w:spacing w:after="160"/>
            </w:pPr>
            <w:r>
              <w:rPr>
                <w:rStyle w:val="row-content-rich-text"/>
              </w:rPr>
              <w:t xml:space="preserve">(non-Indigenous) Aggregate number of schools reporting non-Indigenous student attendance rates for years 1–10.</w:t>
            </w:r>
          </w:p>
          <w:p>
            <w:pPr>
              <w:spacing w:after="160"/>
            </w:pPr>
            <w:r>
              <w:rPr>
                <w:rStyle w:val="row-content-rich-text"/>
              </w:rPr>
              <w:t xml:space="preserve">[1] See </w:t>
            </w:r>
            <w:hyperlink w:history="true" r:id="R29391fec501444af">
              <w:r>
                <w:rPr>
                  <w:rStyle w:val="Hyperlink"/>
                </w:rPr>
                <w:t xml:space="preserve">National Standards for Student Attendance Data Reporting</w:t>
              </w:r>
            </w:hyperlink>
            <w:r>
              <w:rPr>
                <w:rStyle w:val="row-content-rich-text"/>
              </w:rPr>
              <w:t xml:space="preserve"> Section 6.3</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97741a0c92c9422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03672fd8652a469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c43c8e8e6c244c2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5086901779d3438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90b454677c34417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u w:val="single"/>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u w:val="single"/>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ce33552f4f8484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8c875a19846464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d05812825b004f4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e90709c4b922480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for 2016.</w:t>
            </w:r>
          </w:p>
          <w:p>
            <w:pPr>
              <w:spacing w:after="160"/>
            </w:pPr>
            <w:r>
              <w:rPr>
                <w:rStyle w:val="row-content-rich-text"/>
              </w:rPr>
              <w:t xml:space="preserve">Data availability:</w:t>
            </w:r>
          </w:p>
          <w:p>
            <w:pPr>
              <w:spacing w:after="160"/>
            </w:pPr>
            <w:r>
              <w:rPr>
                <w:rStyle w:val="row-content-rich-text"/>
              </w:rPr>
              <w:t xml:space="preserve">Measure (a) 2016 (Semester 1).</w:t>
            </w:r>
          </w:p>
          <w:p>
            <w:pPr>
              <w:spacing w:after="160"/>
            </w:pPr>
            <w:r>
              <w:rPr>
                <w:rStyle w:val="row-content-rich-text"/>
              </w:rPr>
              <w:t xml:space="preserve">Measures (b) and (c) 2016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NIRA target (Close the gap between Indigenous and non-Indigenous school attendance within five years) is 2014 (Semester 1); target year is 2018 (Semester 1 2019).</w:t>
            </w:r>
          </w:p>
          <w:p>
            <w:pPr>
              <w:spacing w:after="160"/>
            </w:pPr>
            <w:r>
              <w:rPr>
                <w:rStyle w:val="row-content-rich-text"/>
              </w:rPr>
              <w:t xml:space="preserve">In May 2014, the Council of Australian Governments (COAG) agreed to a new target to close the gap between Indigenous and non-Indigenous school attendance within five years (by the end of 2018). COAG also agreed that the high level performance indicator to monitor the target would be the overall attendance rates for Year 1 to Year 10 by Indigenous status and remoteness.</w:t>
            </w:r>
          </w:p>
          <w:p>
            <w:pPr>
              <w:spacing w:after="160"/>
            </w:pPr>
            <w:r>
              <w:rPr>
                <w:rStyle w:val="row-content-rich-text"/>
              </w:rPr>
              <w:t xml:space="preserve">Prior to 2015,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one gap for each of the 8 jurisdictions should be monitored. Under this approach, an overall attendance rate for year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w:t>
            </w:r>
          </w:p>
          <w:p>
            <w:pPr>
              <w:spacing w:after="160"/>
            </w:pPr>
            <w:r>
              <w:rPr>
                <w:rStyle w:val="row-content-rich-text"/>
              </w:rPr>
              <w:t xml:space="preserve">Additional reporting by remoteness areas (within state and territory jurisdiction, and at national level using the education standard categories) will also be required to provide a useful context for monitoring where gains are being made.</w:t>
            </w:r>
          </w:p>
          <w:p>
            <w:pPr>
              <w:spacing w:after="160"/>
            </w:pPr>
            <w:r>
              <w:rPr>
                <w:rStyle w:val="row-content-rich-text"/>
              </w:rPr>
              <w:t xml:space="preserve">While measuring progress against this target using data across year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not directly comparable with data for non-government schools. For government schools, data are based on the National Standard for Student Attendance Reporting 2015, while non-government school student level data are based on a different (non-standard) measure.</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 per cent.</w:t>
            </w:r>
          </w:p>
          <w:p>
            <w:pPr/>
            <w:r>
              <w:rPr>
                <w:rStyle w:val="row-content-rich-text"/>
              </w:rPr>
              <w:t xml:space="preserve">Similarly, if either of the Indigenous and non-Indigenous attendance rates is based on less than 6 students, then neither rate is collected. The result is that around 30 per cent of schools will not have either rate. As with the total student attendance rate, schools not reporting the Indigenous and non-Indigenous attendance rates will be excluded from both the numerator and denominator for the per cent of schools above 90% attendance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3a53348bfd409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97469019824064">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7ff12b1cf14c7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07fb988c784d90">
              <w:r>
                <w:rPr>
                  <w:rStyle w:val="Hyperlink"/>
                </w:rPr>
                <w:t xml:space="preserve">National Indigenous Reform Agreement: PI 13—Attendance rates Year 1 to Year 10, 2016</w:t>
              </w:r>
            </w:hyperlink>
          </w:p>
          <w:p>
            <w:pPr>
              <w:pStyle w:val="registration-status"/>
              <w:spacing w:before="0" w:after="0"/>
            </w:pPr>
            <w:hyperlink w:history="true" r:id="Re36166f7929c4afd">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0aff71ebf46a4aae">
              <w:r>
                <w:rPr>
                  <w:rStyle w:val="Hyperlink"/>
                </w:rPr>
                <w:t xml:space="preserve">National Indigenous Reform Agreement: PI 13-Attendance rates Year 1 to Year 10, 2018</w:t>
              </w:r>
            </w:hyperlink>
          </w:p>
          <w:p>
            <w:pPr>
              <w:pStyle w:val="registration-status"/>
              <w:spacing w:before="0" w:after="0"/>
            </w:pPr>
            <w:hyperlink w:history="true" r:id="Rdf80d28f542e4d4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d4f76ec83f9f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3c6deb4c6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76ec83f9f43ed" /><Relationship Type="http://schemas.openxmlformats.org/officeDocument/2006/relationships/header" Target="/word/header1.xml" Id="R2541583afca446e6" /><Relationship Type="http://schemas.openxmlformats.org/officeDocument/2006/relationships/settings" Target="/word/settings.xml" Id="R596617db206049c3" /><Relationship Type="http://schemas.openxmlformats.org/officeDocument/2006/relationships/styles" Target="/word/styles.xml" Id="R2e618cc7e7b44422" /><Relationship Type="http://schemas.openxmlformats.org/officeDocument/2006/relationships/numbering" Target="/word/numbering.xml" Id="R81559606fabb4273" /><Relationship Type="http://schemas.openxmlformats.org/officeDocument/2006/relationships/hyperlink" Target="https://meteor-uat.aihw.gov.au/RegistrationAuthority/9" TargetMode="External" Id="R3bc650657a8a475b" /><Relationship Type="http://schemas.openxmlformats.org/officeDocument/2006/relationships/hyperlink" Target="https://meteor-uat.aihw.gov.au/content/645344" TargetMode="External" Id="Rc77018d17c61428f" /><Relationship Type="http://schemas.openxmlformats.org/officeDocument/2006/relationships/hyperlink" Target="https://meteor-uat.aihw.gov.au/RegistrationAuthority/9" TargetMode="External" Id="R23e2d4135cc1492b" /><Relationship Type="http://schemas.openxmlformats.org/officeDocument/2006/relationships/hyperlink" Target="https://meteor-uat.aihw.gov.au/content/645884" TargetMode="External" Id="Rc81e450b4163415f" /><Relationship Type="http://schemas.openxmlformats.org/officeDocument/2006/relationships/hyperlink" Target="https://meteor-uat.aihw.gov.au/RegistrationAuthority/9" TargetMode="External" Id="Rbd02624585fb499e" /><Relationship Type="http://schemas.openxmlformats.org/officeDocument/2006/relationships/hyperlink" Target="https://meteor-uat.aihw.gov.au/content/664702" TargetMode="External" Id="Redffecddebf24779" /><Relationship Type="http://schemas.openxmlformats.org/officeDocument/2006/relationships/hyperlink" Target="https://meteor-uat.aihw.gov.au/RegistrationAuthority/9" TargetMode="External" Id="R921c81a445a0484a" /><Relationship Type="http://schemas.openxmlformats.org/officeDocument/2006/relationships/hyperlink" Target="http://www.acara.edu.au/verve/_resources/D13_20398__National_Standards_for_Student_Attendance_Data_Reporting_-_UPDATED_November_2013.pdf" TargetMode="External" Id="R16bf1b5b82ed4e42" /><Relationship Type="http://schemas.openxmlformats.org/officeDocument/2006/relationships/hyperlink" Target="https://meteor-uat.aihw.gov.au/content/493515" TargetMode="External" Id="R227ee4cf23fa46c6" /><Relationship Type="http://schemas.openxmlformats.org/officeDocument/2006/relationships/hyperlink" Target="https://meteor-uat.aihw.gov.au/content/493515" TargetMode="External" Id="Rd865fac9445e453f" /><Relationship Type="http://schemas.openxmlformats.org/officeDocument/2006/relationships/hyperlink" Target="https://meteor-uat.aihw.gov.au/content/493515" TargetMode="External" Id="R62aa167545f54853" /><Relationship Type="http://schemas.openxmlformats.org/officeDocument/2006/relationships/hyperlink" Target="https://meteor-uat.aihw.gov.au/content/493515" TargetMode="External" Id="Rfb62acde1af8404a" /><Relationship Type="http://schemas.openxmlformats.org/officeDocument/2006/relationships/hyperlink" Target="https://meteor-uat.aihw.gov.au/content/493515" TargetMode="External" Id="R6deb635308c2449d" /><Relationship Type="http://schemas.openxmlformats.org/officeDocument/2006/relationships/hyperlink" Target="http://www.acara.edu.au/_resources/National_Standards_for_Student_Attendance_Reporting_-_updated_October_20___.pdf" TargetMode="External" Id="R29391fec501444af" /><Relationship Type="http://schemas.openxmlformats.org/officeDocument/2006/relationships/hyperlink" Target="https://meteor-uat.aihw.gov.au/content/493515" TargetMode="External" Id="R97741a0c92c94224" /><Relationship Type="http://schemas.openxmlformats.org/officeDocument/2006/relationships/hyperlink" Target="https://meteor-uat.aihw.gov.au/content/493515" TargetMode="External" Id="R03672fd8652a4690" /><Relationship Type="http://schemas.openxmlformats.org/officeDocument/2006/relationships/hyperlink" Target="https://meteor-uat.aihw.gov.au/content/493515" TargetMode="External" Id="Rc43c8e8e6c244c2d" /><Relationship Type="http://schemas.openxmlformats.org/officeDocument/2006/relationships/hyperlink" Target="https://meteor-uat.aihw.gov.au/content/493515" TargetMode="External" Id="R5086901779d3438f" /><Relationship Type="http://schemas.openxmlformats.org/officeDocument/2006/relationships/hyperlink" Target="https://meteor-uat.aihw.gov.au/content/493515" TargetMode="External" Id="R90b454677c344177" /><Relationship Type="http://schemas.openxmlformats.org/officeDocument/2006/relationships/hyperlink" Target="https://meteor-uat.aihw.gov.au/content/493515" TargetMode="External" Id="Rece33552f4f84849" /><Relationship Type="http://schemas.openxmlformats.org/officeDocument/2006/relationships/hyperlink" Target="https://meteor-uat.aihw.gov.au/content/493515" TargetMode="External" Id="R38c875a19846464b" /><Relationship Type="http://schemas.openxmlformats.org/officeDocument/2006/relationships/hyperlink" Target="https://meteor-uat.aihw.gov.au/content/493515" TargetMode="External" Id="Rd05812825b004f4f" /><Relationship Type="http://schemas.openxmlformats.org/officeDocument/2006/relationships/hyperlink" Target="https://meteor-uat.aihw.gov.au/content/493515" TargetMode="External" Id="Re90709c4b922480d" /><Relationship Type="http://schemas.openxmlformats.org/officeDocument/2006/relationships/hyperlink" Target="https://meteor-uat.aihw.gov.au/content/410674" TargetMode="External" Id="R1f3a53348bfd4096" /><Relationship Type="http://schemas.openxmlformats.org/officeDocument/2006/relationships/hyperlink" Target="https://meteor-uat.aihw.gov.au/content/493515" TargetMode="External" Id="Rd797469019824064" /><Relationship Type="http://schemas.openxmlformats.org/officeDocument/2006/relationships/hyperlink" Target="https://meteor-uat.aihw.gov.au/content/410271" TargetMode="External" Id="R277ff12b1cf14c76" /><Relationship Type="http://schemas.openxmlformats.org/officeDocument/2006/relationships/hyperlink" Target="https://meteor-uat.aihw.gov.au/content/612543" TargetMode="External" Id="Rbc07fb988c784d90" /><Relationship Type="http://schemas.openxmlformats.org/officeDocument/2006/relationships/hyperlink" Target="https://meteor-uat.aihw.gov.au/RegistrationAuthority/9" TargetMode="External" Id="Re36166f7929c4afd" /><Relationship Type="http://schemas.openxmlformats.org/officeDocument/2006/relationships/hyperlink" Target="https://meteor-uat.aihw.gov.au/content/668651" TargetMode="External" Id="R0aff71ebf46a4aae" /><Relationship Type="http://schemas.openxmlformats.org/officeDocument/2006/relationships/hyperlink" Target="https://meteor-uat.aihw.gov.au/RegistrationAuthority/9" TargetMode="External" Id="Rdf80d28f542e4d49" /></Relationships>
</file>

<file path=word/_rels/header1.xml.rels>&#65279;<?xml version="1.0" encoding="utf-8"?><Relationships xmlns="http://schemas.openxmlformats.org/package/2006/relationships"><Relationship Type="http://schemas.openxmlformats.org/officeDocument/2006/relationships/image" Target="/media/image.png" Id="Rcd73c6deb4c641c3" /></Relationships>
</file>