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e0db24af684dd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birthweight,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5039ebf89343dc">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 by Indigenous status of mothers, and among live born singleton babies by Indigenous status of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 Low birthweight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778fe22aa548ff">
              <w:r>
                <w:rPr>
                  <w:rStyle w:val="Hyperlink"/>
                </w:rPr>
                <w:t xml:space="preserve">National Indigenous Reform Agreement (2017)</w:t>
              </w:r>
            </w:hyperlink>
          </w:p>
          <w:p>
            <w:pPr>
              <w:pStyle w:val="registration-status"/>
              <w:spacing w:before="0" w:after="0"/>
            </w:pPr>
            <w:hyperlink w:history="true" r:id="Rae7bffc88170443c">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95f888344f4bb5">
              <w:r>
                <w:rPr>
                  <w:rStyle w:val="Hyperlink"/>
                </w:rPr>
                <w:t xml:space="preserve">Indigenous children are born and remain healthy</w:t>
              </w:r>
            </w:hyperlink>
          </w:p>
          <w:p>
            <w:pPr>
              <w:pStyle w:val="registration-status"/>
              <w:spacing w:before="0" w:after="0"/>
            </w:pPr>
            <w:hyperlink w:history="true" r:id="Rc3c41c2934284cd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3baa83cfc0a422c">
              <w:r>
                <w:rPr>
                  <w:rStyle w:val="Hyperlink"/>
                </w:rPr>
                <w:t xml:space="preserve">National Indigenous Reform Agreement: PI 07-Proportion of babies born of low birthweight, 2015-16; Quality Statement</w:t>
              </w:r>
            </w:hyperlink>
          </w:p>
          <w:p>
            <w:pPr>
              <w:pStyle w:val="registration-status"/>
              <w:spacing w:before="0" w:after="0"/>
            </w:pPr>
            <w:hyperlink w:history="true" r:id="R3c4d68f584aa47c1">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u w:val="single"/>
              </w:rPr>
              <w:t xml:space="preserve">For variability bands</w:t>
            </w:r>
            <w:r>
              <w:rPr>
                <w:rStyle w:val="row-content-rich-text"/>
              </w:rPr>
              <w:t xml:space="preserve">:</w:t>
            </w:r>
          </w:p>
          <w:p>
            <w:pPr>
              <w:spacing w:after="160"/>
            </w:pPr>
            <w:r>
              <w:rPr>
                <w:rStyle w:val="row-content-rich-text"/>
              </w:rPr>
              <w:t xml:space="preserve">Variability bands are to be calculated for rates (single year data and for total data for 3 years combined) using the standard method (see definition below).</w:t>
            </w:r>
          </w:p>
          <w:p>
            <w:pPr>
              <w:spacing w:after="160"/>
            </w:pPr>
            <w:r>
              <w:rPr>
                <w:rStyle w:val="row-content-rich-text"/>
                <w:u w:val="single"/>
              </w:rPr>
              <w:t xml:space="preserve">For trends</w:t>
            </w:r>
            <w:r>
              <w:rPr>
                <w:rStyle w:val="row-content-rich-text"/>
              </w:rPr>
              <w:t xml:space="preserve">:</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babies (percentage), rate ratio, rate difference and variability bands.</w:t>
            </w:r>
          </w:p>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 (where gestation is known).</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Rate</w:t>
            </w:r>
            <w:r>
              <w:rPr>
                <w:rStyle w:val="row-content-rich-text"/>
              </w:rPr>
              <w:t xml:space="preserve">: 100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bands</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pPr>
              <w:spacing w:after="160"/>
            </w:pPr>
            <w:r>
              <w:rPr>
                <w:rStyle w:val="row-content-rich-text"/>
                <w:i/>
              </w:rPr>
              <w:t xml:space="preserve"> </w:t>
            </w:r>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a465ba0dcaf45f2"/>
                          <a:srcRect/>
                          <a:stretch>
                            <a:fillRect/>
                          </a:stretch>
                        </pic:blipFill>
                        <pic:spPr bwMode="auto">
                          <a:xfrm>
                            <a:off x="0" y="0"/>
                            <a:ext cx="5000625" cy="1095375"/>
                          </a:xfrm>
                          <a:prstGeom prst="rect">
                            <a:avLst/>
                          </a:prstGeom>
                        </pic:spPr>
                      </pic:pic>
                    </a:graphicData>
                  </a:graphic>
                </wp:inline>
              </w:drawing>
            </w:r>
            <w:r>
              <w:rPr>
                <w:rStyle w:val="row-content-rich-text"/>
                <w:i/>
              </w:rPr>
              <w:t xml:space="preserve"> </w:t>
            </w:r>
          </w:p>
          <w:p>
            <w:pPr>
              <w:spacing w:after="160"/>
            </w:pPr>
            <w:r>
              <w:rPr>
                <w:rStyle w:val="row-content-rich-text"/>
              </w:rPr>
              <w:t xml:space="preserve">Where CI = confidence interval</w:t>
            </w:r>
          </w:p>
          <w:p>
            <w:pPr>
              <w:spacing w:after="160"/>
            </w:pPr>
            <w:r>
              <w:rPr>
                <w:rStyle w:val="row-content-rich-text"/>
              </w:rPr>
              <w:t xml:space="preserve">CR = crude rate (expressed as a percentage)</w:t>
            </w:r>
          </w:p>
          <w:p>
            <w:pPr>
              <w:spacing w:after="160"/>
            </w:pPr>
            <w:r>
              <w:rPr>
                <w:rStyle w:val="row-content-rich-text"/>
              </w:rPr>
              <w:t xml:space="preserve">n=number of live born singleton babies.</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(b)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ecb098b2234cbb">
              <w:r>
                <w:rPr>
                  <w:rStyle w:val="Hyperlink"/>
                </w:rPr>
                <w:t xml:space="preserve">Birth—birth weight, total grams NNNN</w:t>
              </w:r>
            </w:hyperlink>
          </w:p>
          <w:p>
            <w:r>
              <w:rPr>
                <w:rStyle w:val="row-content"/>
                <w:b/>
              </w:rPr>
              <w:t xml:space="preserve">Data Source</w:t>
            </w:r>
          </w:p>
          <w:p>
            <w:hyperlink w:history="true" r:id="Rce82c922cd3042ca">
              <w:r>
                <w:rPr>
                  <w:rStyle w:val="Hyperlink"/>
                </w:rPr>
                <w:t xml:space="preserve">AIHW National Perinatal Data Collection (NPDC)</w:t>
              </w:r>
            </w:hyperlink>
          </w:p>
          <w:p>
            <w:r>
              <w:rPr>
                <w:rStyle w:val="row-content"/>
                <w:b/>
              </w:rPr>
              <w:t xml:space="preserve">NMDS / DSS</w:t>
            </w:r>
          </w:p>
          <w:p>
            <w:hyperlink w:history="true" r:id="Rbfb6a03b8eff410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72535db13c4793">
              <w:r>
                <w:rPr>
                  <w:rStyle w:val="Hyperlink"/>
                </w:rPr>
                <w:t xml:space="preserve">Birth—birth status, code N</w:t>
              </w:r>
            </w:hyperlink>
          </w:p>
          <w:p>
            <w:r>
              <w:rPr>
                <w:rStyle w:val="row-content"/>
                <w:b/>
              </w:rPr>
              <w:t xml:space="preserve">Data Source</w:t>
            </w:r>
          </w:p>
          <w:p>
            <w:hyperlink w:history="true" r:id="R461d083dd1cd4947">
              <w:r>
                <w:rPr>
                  <w:rStyle w:val="Hyperlink"/>
                </w:rPr>
                <w:t xml:space="preserve">AIHW National Perinatal Data Collection (NPDC)</w:t>
              </w:r>
            </w:hyperlink>
          </w:p>
          <w:p>
            <w:r>
              <w:rPr>
                <w:rStyle w:val="row-content"/>
                <w:b/>
              </w:rPr>
              <w:t xml:space="preserve">NMDS / DSS</w:t>
            </w:r>
          </w:p>
          <w:p>
            <w:hyperlink w:history="true" r:id="Raf356bee5d97491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6bc9132af484835">
              <w:r>
                <w:rPr>
                  <w:rStyle w:val="Hyperlink"/>
                </w:rPr>
                <w:t xml:space="preserve">Birth event—birth plurality, code N</w:t>
              </w:r>
            </w:hyperlink>
          </w:p>
          <w:p>
            <w:r>
              <w:rPr>
                <w:rStyle w:val="row-content"/>
                <w:b/>
              </w:rPr>
              <w:t xml:space="preserve">Data Source</w:t>
            </w:r>
          </w:p>
          <w:p>
            <w:hyperlink w:history="true" r:id="Rbf11ebe0883f4e1c">
              <w:r>
                <w:rPr>
                  <w:rStyle w:val="Hyperlink"/>
                </w:rPr>
                <w:t xml:space="preserve">AIHW National Perinatal Data Collection (NPDC)</w:t>
              </w:r>
            </w:hyperlink>
          </w:p>
          <w:p>
            <w:r>
              <w:rPr>
                <w:rStyle w:val="row-content"/>
                <w:b/>
              </w:rPr>
              <w:t xml:space="preserve">NMDS / DSS</w:t>
            </w:r>
          </w:p>
          <w:p>
            <w:hyperlink w:history="true" r:id="Re66da2d18f024fe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783f03de3041ef">
              <w:r>
                <w:rPr>
                  <w:rStyle w:val="Hyperlink"/>
                </w:rPr>
                <w:t xml:space="preserve">Birth—birth status, code N</w:t>
              </w:r>
            </w:hyperlink>
          </w:p>
          <w:p>
            <w:r>
              <w:rPr>
                <w:rStyle w:val="row-content"/>
                <w:b/>
              </w:rPr>
              <w:t xml:space="preserve">Data Source</w:t>
            </w:r>
          </w:p>
          <w:p>
            <w:hyperlink w:history="true" r:id="Redee99e9ef3941a2">
              <w:r>
                <w:rPr>
                  <w:rStyle w:val="Hyperlink"/>
                </w:rPr>
                <w:t xml:space="preserve">AIHW National Perinatal Data Collection (NPDC)</w:t>
              </w:r>
            </w:hyperlink>
          </w:p>
          <w:p>
            <w:r>
              <w:rPr>
                <w:rStyle w:val="row-content"/>
                <w:b/>
              </w:rPr>
              <w:t xml:space="preserve">NMDS / DSS</w:t>
            </w:r>
          </w:p>
          <w:p>
            <w:hyperlink w:history="true" r:id="Rffef3633501e47e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c26d8753574efe">
              <w:r>
                <w:rPr>
                  <w:rStyle w:val="Hyperlink"/>
                </w:rPr>
                <w:t xml:space="preserve">Birth event—birth plurality, code N</w:t>
              </w:r>
            </w:hyperlink>
          </w:p>
          <w:p>
            <w:r>
              <w:rPr>
                <w:rStyle w:val="row-content"/>
                <w:b/>
              </w:rPr>
              <w:t xml:space="preserve">Data Source</w:t>
            </w:r>
          </w:p>
          <w:p>
            <w:hyperlink w:history="true" r:id="Rf1904eb9f62448bf">
              <w:r>
                <w:rPr>
                  <w:rStyle w:val="Hyperlink"/>
                </w:rPr>
                <w:t xml:space="preserve">AIHW National Perinatal Data Collection (NPDC)</w:t>
              </w:r>
            </w:hyperlink>
          </w:p>
          <w:p>
            <w:r>
              <w:rPr>
                <w:rStyle w:val="row-content"/>
                <w:b/>
              </w:rPr>
              <w:t xml:space="preserve">NMDS / DSS</w:t>
            </w:r>
          </w:p>
          <w:p>
            <w:hyperlink w:history="true" r:id="Re46177686777451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69cd83108e4d9c">
              <w:r>
                <w:rPr>
                  <w:rStyle w:val="Hyperlink"/>
                </w:rPr>
                <w:t xml:space="preserve">Product of conception—gestational age, completed weeks N[N]</w:t>
              </w:r>
            </w:hyperlink>
          </w:p>
          <w:p>
            <w:r>
              <w:rPr>
                <w:rStyle w:val="row-content"/>
                <w:b/>
              </w:rPr>
              <w:t xml:space="preserve">Data Source</w:t>
            </w:r>
          </w:p>
          <w:p>
            <w:hyperlink w:history="true" r:id="R0d99fc614d204c80">
              <w:r>
                <w:rPr>
                  <w:rStyle w:val="Hyperlink"/>
                </w:rPr>
                <w:t xml:space="preserve">AIHW National Perinatal Data Collection (NPDC)</w:t>
              </w:r>
            </w:hyperlink>
          </w:p>
          <w:p>
            <w:r>
              <w:rPr>
                <w:rStyle w:val="row-content"/>
                <w:b/>
              </w:rPr>
              <w:t xml:space="preserve">NMDS / DSS</w:t>
            </w:r>
          </w:p>
          <w:p>
            <w:hyperlink w:history="true" r:id="Rf8385592edea43a7">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Indigenous status of the mother</w:t>
            </w:r>
          </w:p>
          <w:p>
            <w:pPr>
              <w:spacing w:after="160"/>
            </w:pPr>
            <w:r>
              <w:rPr>
                <w:rStyle w:val="row-content-rich-text"/>
                <w:b/>
              </w:rPr>
              <w:t xml:space="preserve">Current period</w:t>
            </w:r>
            <w:r>
              <w:rPr>
                <w:rStyle w:val="row-content-rich-text"/>
              </w:rPr>
              <w:t xml:space="preserve">—(2012–2014):</w:t>
            </w:r>
          </w:p>
          <w:p>
            <w:pPr>
              <w:spacing w:after="160"/>
            </w:pPr>
            <w:r>
              <w:rPr>
                <w:rStyle w:val="row-content-rich-text"/>
              </w:rPr>
              <w:t xml:space="preserve">For Indigenous and non-Indigenous (number, rate, rate ratio, rate difference and variability bands):</w:t>
            </w:r>
          </w:p>
          <w:p>
            <w:pPr>
              <w:pStyle w:val="ListParagraph"/>
              <w:numPr>
                <w:ilvl w:val="0"/>
                <w:numId w:val="2"/>
              </w:numPr>
            </w:pPr>
            <w:r>
              <w:rPr>
                <w:rStyle w:val="row-content-rich-text"/>
              </w:rPr>
              <w:t xml:space="preserve">Total and state/territory: by Indigenous status of the mother.</w:t>
            </w:r>
          </w:p>
          <w:p>
            <w:pPr>
              <w:pStyle w:val="ListParagraph"/>
              <w:numPr>
                <w:ilvl w:val="0"/>
                <w:numId w:val="2"/>
              </w:numPr>
            </w:pPr>
            <w:r>
              <w:rPr>
                <w:rStyle w:val="row-content-rich-text"/>
              </w:rPr>
              <w:t xml:space="preserve">Total by remoteness area: by Indigenous status of the mother.</w:t>
            </w:r>
          </w:p>
          <w:p>
            <w:pPr>
              <w:spacing w:after="160"/>
            </w:pPr>
            <w:r>
              <w:rPr>
                <w:rStyle w:val="row-content-rich-text"/>
                <w:b/>
              </w:rPr>
              <w:t xml:space="preserve">Time series</w:t>
            </w:r>
            <w:r>
              <w:rPr>
                <w:rStyle w:val="row-content-rich-text"/>
              </w:rPr>
              <w:t xml:space="preserve">—2007, 2008, 2009, 2010, 2011, 2012, 2013  (the data for these years have been previously supplied), 2014 (required for 2017 reporting):</w:t>
            </w:r>
          </w:p>
          <w:p>
            <w:pPr>
              <w:spacing w:after="160"/>
            </w:pPr>
            <w:r>
              <w:rPr>
                <w:rStyle w:val="row-content-rich-text"/>
              </w:rPr>
              <w:t xml:space="preserve">For Indigenous and non-Indigenous (number, rate, rate ratio, rate difference and variability bands):</w:t>
            </w:r>
          </w:p>
          <w:p>
            <w:pPr>
              <w:pStyle w:val="ListParagraph"/>
              <w:numPr>
                <w:ilvl w:val="0"/>
                <w:numId w:val="3"/>
              </w:numPr>
            </w:pPr>
            <w:r>
              <w:rPr>
                <w:rStyle w:val="row-content-rich-text"/>
              </w:rPr>
              <w:t xml:space="preserve">Total and state/territory: by Indigenous status of the mother.</w:t>
            </w:r>
          </w:p>
          <w:p>
            <w:pPr>
              <w:pStyle w:val="ListParagraph"/>
              <w:numPr>
                <w:ilvl w:val="0"/>
                <w:numId w:val="3"/>
              </w:numPr>
            </w:pPr>
            <w:r>
              <w:rPr>
                <w:rStyle w:val="row-content-rich-text"/>
              </w:rPr>
              <w:t xml:space="preserve">Total by remoteness area (from 2012 onwards): by Indigenous status of the mother.</w:t>
            </w:r>
          </w:p>
          <w:p>
            <w:pPr>
              <w:spacing w:after="160"/>
            </w:pPr>
            <w:r>
              <w:rPr>
                <w:rStyle w:val="row-content-rich-text"/>
                <w:u w:val="single"/>
              </w:rPr>
              <w:t xml:space="preserve">Indigenous status of the baby</w:t>
            </w:r>
          </w:p>
          <w:p>
            <w:pPr>
              <w:spacing w:after="160"/>
            </w:pPr>
            <w:r>
              <w:rPr>
                <w:rStyle w:val="row-content-rich-text"/>
                <w:b/>
              </w:rPr>
              <w:t xml:space="preserve">Current period</w:t>
            </w:r>
            <w:r>
              <w:rPr>
                <w:rStyle w:val="row-content-rich-text"/>
              </w:rPr>
              <w:t xml:space="preserve">—(2013–2014):</w:t>
            </w:r>
          </w:p>
          <w:p>
            <w:pPr>
              <w:spacing w:after="160"/>
            </w:pPr>
            <w:r>
              <w:rPr>
                <w:rStyle w:val="row-content-rich-text"/>
              </w:rPr>
              <w:t xml:space="preserve">For Indigenous and non-Indigenous (number, rate, rate ratio, rate difference and variability bands):</w:t>
            </w:r>
          </w:p>
          <w:p>
            <w:pPr>
              <w:pStyle w:val="ListParagraph"/>
              <w:numPr>
                <w:ilvl w:val="0"/>
                <w:numId w:val="4"/>
              </w:numPr>
            </w:pPr>
            <w:r>
              <w:rPr>
                <w:rStyle w:val="row-content-rich-text"/>
              </w:rPr>
              <w:t xml:space="preserve">Total and state/territory: by Indigenous status of the baby.</w:t>
            </w:r>
          </w:p>
          <w:p>
            <w:pPr>
              <w:pStyle w:val="ListParagraph"/>
              <w:numPr>
                <w:ilvl w:val="0"/>
                <w:numId w:val="4"/>
              </w:numPr>
            </w:pPr>
            <w:r>
              <w:rPr>
                <w:rStyle w:val="row-content-rich-text"/>
              </w:rPr>
              <w:t xml:space="preserve">Total by remoteness area: by Indigenous status of the baby.</w:t>
            </w:r>
          </w:p>
          <w:p>
            <w:pPr>
              <w:spacing w:after="160"/>
            </w:pPr>
            <w:r>
              <w:rPr>
                <w:rStyle w:val="row-content-rich-text"/>
                <w:b/>
              </w:rPr>
              <w:t xml:space="preserve">Time series</w:t>
            </w:r>
            <w:r>
              <w:rPr>
                <w:rStyle w:val="row-content-rich-text"/>
              </w:rPr>
              <w:t xml:space="preserve">—2011, 2012, 2013 (the data for these years have been previously supplied), 2014 (required for 2017 reporting).</w:t>
            </w:r>
          </w:p>
          <w:p>
            <w:pPr>
              <w:spacing w:after="160"/>
            </w:pPr>
            <w:r>
              <w:rPr>
                <w:rStyle w:val="row-content-rich-text"/>
              </w:rPr>
              <w:t xml:space="preserve">For Indigenous and non-Indigenous (number, rate, rate ratio, rate difference and variability bands):</w:t>
            </w:r>
          </w:p>
          <w:p>
            <w:pPr>
              <w:pStyle w:val="ListParagraph"/>
              <w:numPr>
                <w:ilvl w:val="0"/>
                <w:numId w:val="5"/>
              </w:numPr>
            </w:pPr>
            <w:r>
              <w:rPr>
                <w:rStyle w:val="row-content-rich-text"/>
              </w:rPr>
              <w:t xml:space="preserve">Total and state/territory: by Indigenous status of the baby.</w:t>
            </w:r>
          </w:p>
          <w:p>
            <w:pPr>
              <w:pStyle w:val="ListParagraph"/>
              <w:numPr>
                <w:ilvl w:val="0"/>
                <w:numId w:val="5"/>
              </w:numPr>
            </w:pPr>
            <w:r>
              <w:rPr>
                <w:rStyle w:val="row-content-rich-text"/>
              </w:rPr>
              <w:t xml:space="preserve">Total by remoteness area: by Indigenous status of the baby.</w:t>
            </w:r>
          </w:p>
          <w:p>
            <w:pPr>
              <w:spacing w:after="160"/>
            </w:pPr>
            <w:r>
              <w:rPr>
                <w:rStyle w:val="row-content-rich-text"/>
                <w:u w:val="single"/>
              </w:rPr>
              <w:t xml:space="preserve">Indigenous status of the baby cross-tabulated by the Indigenous status of the mother </w:t>
            </w:r>
          </w:p>
          <w:p>
            <w:pPr>
              <w:spacing w:after="160"/>
            </w:pPr>
            <w:r>
              <w:rPr>
                <w:rStyle w:val="row-content-rich-text"/>
                <w:b/>
              </w:rPr>
              <w:t xml:space="preserve">Current period only</w:t>
            </w:r>
            <w:r>
              <w:rPr>
                <w:rStyle w:val="row-content-rich-text"/>
              </w:rPr>
              <w:t xml:space="preserve">—(2013–2014):</w:t>
            </w:r>
          </w:p>
          <w:p>
            <w:pPr>
              <w:spacing w:after="160"/>
            </w:pPr>
            <w:r>
              <w:rPr>
                <w:rStyle w:val="row-content-rich-text"/>
              </w:rPr>
              <w:t xml:space="preserve">For Indigenous and non-Indigenous (number, rate, rate ratio and rate difference):</w:t>
            </w:r>
          </w:p>
          <w:p>
            <w:pPr>
              <w:pStyle w:val="ListParagraph"/>
              <w:numPr>
                <w:ilvl w:val="0"/>
                <w:numId w:val="6"/>
              </w:numPr>
            </w:pPr>
            <w:r>
              <w:rPr>
                <w:rStyle w:val="row-content-rich-text"/>
              </w:rPr>
              <w:t xml:space="preserve">Total and state/territory: by Indigenous status of the baby and of the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a1303b1d3543c2">
              <w:r>
                <w:rPr>
                  <w:rStyle w:val="Hyperlink"/>
                </w:rPr>
                <w:t xml:space="preserve">Person—Indigenous status, code N</w:t>
              </w:r>
            </w:hyperlink>
          </w:p>
          <w:p>
            <w:r>
              <w:rPr>
                <w:rStyle w:val="row-content"/>
                <w:b/>
              </w:rPr>
              <w:t xml:space="preserve">Data Source</w:t>
            </w:r>
          </w:p>
          <w:p>
            <w:hyperlink w:history="true" r:id="Rae45328f49b44fd3">
              <w:r>
                <w:rPr>
                  <w:rStyle w:val="Hyperlink"/>
                </w:rPr>
                <w:t xml:space="preserve">AIHW National Perinatal Data Collection (NPDC)</w:t>
              </w:r>
            </w:hyperlink>
          </w:p>
          <w:p>
            <w:r>
              <w:rPr>
                <w:rStyle w:val="row-content"/>
                <w:b/>
              </w:rPr>
              <w:t xml:space="preserve">NMDS / DSS</w:t>
            </w:r>
          </w:p>
          <w:p>
            <w:hyperlink w:history="true" r:id="Rb8fdeb3a65a14032">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56cda93d98402c">
              <w:r>
                <w:rPr>
                  <w:rStyle w:val="Hyperlink"/>
                </w:rPr>
                <w:t xml:space="preserve">Person—area of usual residence, statistical area level 2 (SA2) code (ASGS 2011) N(9)</w:t>
              </w:r>
            </w:hyperlink>
          </w:p>
          <w:p>
            <w:r>
              <w:rPr>
                <w:rStyle w:val="row-content"/>
                <w:b/>
              </w:rPr>
              <w:t xml:space="preserve">Data Source</w:t>
            </w:r>
          </w:p>
          <w:p>
            <w:hyperlink w:history="true" r:id="R174f49dc5974497e">
              <w:r>
                <w:rPr>
                  <w:rStyle w:val="Hyperlink"/>
                </w:rPr>
                <w:t xml:space="preserve">AIHW National Perinatal Data Collection (NPDC)</w:t>
              </w:r>
            </w:hyperlink>
          </w:p>
          <w:p>
            <w:r>
              <w:rPr>
                <w:rStyle w:val="row-content"/>
                <w:b/>
              </w:rPr>
              <w:t xml:space="preserve">NMDS / DSS</w:t>
            </w:r>
          </w:p>
          <w:p>
            <w:hyperlink w:history="true" r:id="R397d1659e7154725">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is 2014.</w:t>
            </w:r>
          </w:p>
          <w:p>
            <w:pPr>
              <w:spacing w:after="160"/>
            </w:pPr>
            <w:r>
              <w:rPr>
                <w:rStyle w:val="row-content-rich-text"/>
              </w:rPr>
              <w:t xml:space="preserve">Aggregated data for a 3-year period (2012 to 2014) will be reported for the current reporting period (where data are available).</w:t>
            </w:r>
          </w:p>
          <w:p>
            <w:pPr>
              <w:spacing w:after="160"/>
            </w:pPr>
            <w:r>
              <w:rPr>
                <w:rStyle w:val="row-content-rich-text"/>
              </w:rPr>
              <w:t xml:space="preserve">Single year data (2007, 2008, 2009, 2010, 2011, 2012, 2013 and 2014)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stillbirths of at least 400 grams birthweight or at least 20 weeks gestation.</w:t>
            </w:r>
          </w:p>
          <w:p>
            <w:pPr>
              <w:spacing w:after="160"/>
            </w:pPr>
            <w:r>
              <w:rPr>
                <w:rStyle w:val="row-content-rich-text"/>
              </w:rPr>
              <w:t xml:space="preserve">Until 2011, the NPDC only included information on the Indigenous status of the mother. From 2011, the NPDC included information on the Indigenous status of the baby for selected jurisdictions—NSW, Vic, Qld, Tas, the ACT and the NT. The mandatory collection of this data item began from July 2012 following its inclusion in the Perinatal National Minimum Data Set (NMDS). National data based on the NMDS data item are therefore available for the latter 6 months of 2012, and 2013 is the first full calendar year for which nationally standardised data on the Indigenous status of babies are available.</w:t>
            </w:r>
          </w:p>
          <w:p>
            <w:pPr>
              <w:spacing w:after="160"/>
            </w:pPr>
            <w:r>
              <w:rPr>
                <w:rStyle w:val="row-content-rich-text"/>
              </w:rPr>
              <w:t xml:space="preserve">Disaggregation by Indigenous status is recommended to be reported using 3-year combined data for the current reporting period due to the relatively small number of low birthweight babies born to Indigenous mothers each year. Single year data are to be reported for time series.</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For the 2017 report (2015–16 reporting cycle), a contextual table that shows data on low birthweight by the Indigenous status of the baby stratified by the Indigenous status of the mother is included for the first time. For this report, 2 full years of nationally standardised data are available (2013 and 2014 combined). For future reporting cycles, 3 years of data will be combined.</w:t>
            </w:r>
          </w:p>
          <w:p>
            <w:pPr>
              <w:spacing w:after="160"/>
            </w:pPr>
            <w:r>
              <w:rPr>
                <w:rStyle w:val="row-content-rich-text"/>
              </w:rPr>
              <w:t xml:space="preserve">Variability bands accompanying perinatal data should be used where there are at least 3 full calendar years of data available for the purposes of comparisons over time and for national estimates at a point in time for Indigenous/non-Indigenous comparisons.</w:t>
            </w:r>
          </w:p>
          <w:p>
            <w:pPr/>
            <w:r>
              <w:rPr>
                <w:rStyle w:val="row-content-rich-text"/>
              </w:rPr>
              <w:t xml:space="preserve">Baseline year for National Indigenous Reform Agreement (NIRA) target (Halve the gap in mortality rates for Indigenous children under 5 within a decade) is 2008; baseline year for this indicator is 2007;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5ad0e2eb1d54a56">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360c70aae647b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 data item for Indigenous status of the baby was added to the Perinatal National Minimum Data Set (NMDS) for collection from July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508b39416904539">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1b649af66e4e29">
              <w:r>
                <w:rPr>
                  <w:rStyle w:val="Hyperlink"/>
                </w:rPr>
                <w:t xml:space="preserve">National Indigenous Reform Agreement: PI 07—Proportion of babies born of low birthweight, 2016</w:t>
              </w:r>
            </w:hyperlink>
          </w:p>
          <w:p>
            <w:pPr>
              <w:pStyle w:val="registration-status"/>
              <w:spacing w:before="0" w:after="0"/>
            </w:pPr>
            <w:hyperlink w:history="true" r:id="Rb8e8c93c2cd74a3a">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26c103ae63b845f1">
              <w:r>
                <w:rPr>
                  <w:rStyle w:val="Hyperlink"/>
                </w:rPr>
                <w:t xml:space="preserve">National Indigenous Reform Agreement: PI 07-Proportion of babies born of low birthweight, 2018</w:t>
              </w:r>
            </w:hyperlink>
          </w:p>
          <w:p>
            <w:pPr>
              <w:pStyle w:val="registration-status"/>
              <w:spacing w:before="0" w:after="0"/>
            </w:pPr>
            <w:hyperlink w:history="true" r:id="R52e1da94eda74ca8">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30baaffc01274f5b">
              <w:r>
                <w:rPr>
                  <w:rStyle w:val="Hyperlink"/>
                </w:rPr>
                <w:t xml:space="preserve">National Healthcare Agreement: PI 01-Proportion of babies born of low birth weight, 2015</w:t>
              </w:r>
            </w:hyperlink>
          </w:p>
          <w:p>
            <w:pPr>
              <w:pStyle w:val="registration-status"/>
              <w:spacing w:before="0" w:after="0"/>
            </w:pPr>
            <w:hyperlink w:history="true" r:id="Rccdd591db1c24289">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87904f6a1eae4a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a2803841048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904f6a1eae4ada" /><Relationship Type="http://schemas.openxmlformats.org/officeDocument/2006/relationships/header" Target="/word/header1.xml" Id="Ra699ea72f1684f87" /><Relationship Type="http://schemas.openxmlformats.org/officeDocument/2006/relationships/settings" Target="/word/settings.xml" Id="R1e705befdbb2437c" /><Relationship Type="http://schemas.openxmlformats.org/officeDocument/2006/relationships/styles" Target="/word/styles.xml" Id="R5b7a8ff46c764a32" /><Relationship Type="http://schemas.openxmlformats.org/officeDocument/2006/relationships/image" Target="/media/image.jpg" Id="R9a465ba0dcaf45f2" /><Relationship Type="http://schemas.openxmlformats.org/officeDocument/2006/relationships/numbering" Target="/word/numbering.xml" Id="R9b4bb824916642cd" /><Relationship Type="http://schemas.openxmlformats.org/officeDocument/2006/relationships/hyperlink" Target="https://meteor-uat.aihw.gov.au/RegistrationAuthority/9" TargetMode="External" Id="R465039ebf89343dc" /><Relationship Type="http://schemas.openxmlformats.org/officeDocument/2006/relationships/hyperlink" Target="https://meteor-uat.aihw.gov.au/content/645344" TargetMode="External" Id="Rfb778fe22aa548ff" /><Relationship Type="http://schemas.openxmlformats.org/officeDocument/2006/relationships/hyperlink" Target="https://meteor-uat.aihw.gov.au/RegistrationAuthority/9" TargetMode="External" Id="Rae7bffc88170443c" /><Relationship Type="http://schemas.openxmlformats.org/officeDocument/2006/relationships/hyperlink" Target="https://meteor-uat.aihw.gov.au/content/396166" TargetMode="External" Id="Rd595f888344f4bb5" /><Relationship Type="http://schemas.openxmlformats.org/officeDocument/2006/relationships/hyperlink" Target="https://meteor-uat.aihw.gov.au/RegistrationAuthority/9" TargetMode="External" Id="Rc3c41c2934284cd2" /><Relationship Type="http://schemas.openxmlformats.org/officeDocument/2006/relationships/hyperlink" Target="https://meteor-uat.aihw.gov.au/content/664688" TargetMode="External" Id="Re3baa83cfc0a422c" /><Relationship Type="http://schemas.openxmlformats.org/officeDocument/2006/relationships/hyperlink" Target="https://meteor-uat.aihw.gov.au/RegistrationAuthority/9" TargetMode="External" Id="R3c4d68f584aa47c1" /><Relationship Type="http://schemas.openxmlformats.org/officeDocument/2006/relationships/hyperlink" Target="https://meteor-uat.aihw.gov.au/content/269938" TargetMode="External" Id="R02ecb098b2234cbb" /><Relationship Type="http://schemas.openxmlformats.org/officeDocument/2006/relationships/hyperlink" Target="https://meteor-uat.aihw.gov.au/content/392479" TargetMode="External" Id="Rce82c922cd3042ca" /><Relationship Type="http://schemas.openxmlformats.org/officeDocument/2006/relationships/hyperlink" Target="https://meteor-uat.aihw.gov.au/content/517456" TargetMode="External" Id="Rbfb6a03b8eff4104" /><Relationship Type="http://schemas.openxmlformats.org/officeDocument/2006/relationships/hyperlink" Target="https://meteor-uat.aihw.gov.au/content/269949" TargetMode="External" Id="R1772535db13c4793" /><Relationship Type="http://schemas.openxmlformats.org/officeDocument/2006/relationships/hyperlink" Target="https://meteor-uat.aihw.gov.au/content/392479" TargetMode="External" Id="R461d083dd1cd4947" /><Relationship Type="http://schemas.openxmlformats.org/officeDocument/2006/relationships/hyperlink" Target="https://meteor-uat.aihw.gov.au/content/517456" TargetMode="External" Id="Raf356bee5d974910" /><Relationship Type="http://schemas.openxmlformats.org/officeDocument/2006/relationships/hyperlink" Target="https://meteor-uat.aihw.gov.au/content/269994" TargetMode="External" Id="Rd6bc9132af484835" /><Relationship Type="http://schemas.openxmlformats.org/officeDocument/2006/relationships/hyperlink" Target="https://meteor-uat.aihw.gov.au/content/392479" TargetMode="External" Id="Rbf11ebe0883f4e1c" /><Relationship Type="http://schemas.openxmlformats.org/officeDocument/2006/relationships/hyperlink" Target="https://meteor-uat.aihw.gov.au/content/517456" TargetMode="External" Id="Re66da2d18f024fe1" /><Relationship Type="http://schemas.openxmlformats.org/officeDocument/2006/relationships/hyperlink" Target="https://meteor-uat.aihw.gov.au/content/269949" TargetMode="External" Id="Rab783f03de3041ef" /><Relationship Type="http://schemas.openxmlformats.org/officeDocument/2006/relationships/hyperlink" Target="https://meteor-uat.aihw.gov.au/content/392479" TargetMode="External" Id="Redee99e9ef3941a2" /><Relationship Type="http://schemas.openxmlformats.org/officeDocument/2006/relationships/hyperlink" Target="https://meteor-uat.aihw.gov.au/content/517456" TargetMode="External" Id="Rffef3633501e47e5" /><Relationship Type="http://schemas.openxmlformats.org/officeDocument/2006/relationships/hyperlink" Target="https://meteor-uat.aihw.gov.au/content/269994" TargetMode="External" Id="R36c26d8753574efe" /><Relationship Type="http://schemas.openxmlformats.org/officeDocument/2006/relationships/hyperlink" Target="https://meteor-uat.aihw.gov.au/content/392479" TargetMode="External" Id="Rf1904eb9f62448bf" /><Relationship Type="http://schemas.openxmlformats.org/officeDocument/2006/relationships/hyperlink" Target="https://meteor-uat.aihw.gov.au/content/517456" TargetMode="External" Id="Re461776867774512" /><Relationship Type="http://schemas.openxmlformats.org/officeDocument/2006/relationships/hyperlink" Target="https://meteor-uat.aihw.gov.au/content/298105" TargetMode="External" Id="Rad69cd83108e4d9c" /><Relationship Type="http://schemas.openxmlformats.org/officeDocument/2006/relationships/hyperlink" Target="https://meteor-uat.aihw.gov.au/content/392479" TargetMode="External" Id="R0d99fc614d204c80" /><Relationship Type="http://schemas.openxmlformats.org/officeDocument/2006/relationships/hyperlink" Target="https://meteor-uat.aihw.gov.au/content/517456" TargetMode="External" Id="Rf8385592edea43a7" /><Relationship Type="http://schemas.openxmlformats.org/officeDocument/2006/relationships/hyperlink" Target="https://meteor-uat.aihw.gov.au/content/291036" TargetMode="External" Id="Ra1a1303b1d3543c2" /><Relationship Type="http://schemas.openxmlformats.org/officeDocument/2006/relationships/hyperlink" Target="https://meteor-uat.aihw.gov.au/content/392479" TargetMode="External" Id="Rae45328f49b44fd3" /><Relationship Type="http://schemas.openxmlformats.org/officeDocument/2006/relationships/hyperlink" Target="https://meteor-uat.aihw.gov.au/content/517456" TargetMode="External" Id="Rb8fdeb3a65a14032" /><Relationship Type="http://schemas.openxmlformats.org/officeDocument/2006/relationships/hyperlink" Target="https://meteor-uat.aihw.gov.au/content/469909" TargetMode="External" Id="R0956cda93d98402c" /><Relationship Type="http://schemas.openxmlformats.org/officeDocument/2006/relationships/hyperlink" Target="https://meteor-uat.aihw.gov.au/content/392479" TargetMode="External" Id="R174f49dc5974497e" /><Relationship Type="http://schemas.openxmlformats.org/officeDocument/2006/relationships/hyperlink" Target="https://meteor-uat.aihw.gov.au/content/517456" TargetMode="External" Id="R397d1659e7154725" /><Relationship Type="http://schemas.openxmlformats.org/officeDocument/2006/relationships/hyperlink" Target="https://meteor-uat.aihw.gov.au/content/410650" TargetMode="External" Id="R75ad0e2eb1d54a56" /><Relationship Type="http://schemas.openxmlformats.org/officeDocument/2006/relationships/hyperlink" Target="https://meteor-uat.aihw.gov.au/content/392479" TargetMode="External" Id="R77360c70aae647b6" /><Relationship Type="http://schemas.openxmlformats.org/officeDocument/2006/relationships/hyperlink" Target="https://meteor-uat.aihw.gov.au/content/410271" TargetMode="External" Id="R4508b39416904539" /><Relationship Type="http://schemas.openxmlformats.org/officeDocument/2006/relationships/hyperlink" Target="https://meteor-uat.aihw.gov.au/content/611176" TargetMode="External" Id="Rf91b649af66e4e29" /><Relationship Type="http://schemas.openxmlformats.org/officeDocument/2006/relationships/hyperlink" Target="https://meteor-uat.aihw.gov.au/RegistrationAuthority/9" TargetMode="External" Id="Rb8e8c93c2cd74a3a" /><Relationship Type="http://schemas.openxmlformats.org/officeDocument/2006/relationships/hyperlink" Target="https://meteor-uat.aihw.gov.au/content/668674" TargetMode="External" Id="R26c103ae63b845f1" /><Relationship Type="http://schemas.openxmlformats.org/officeDocument/2006/relationships/hyperlink" Target="https://meteor-uat.aihw.gov.au/RegistrationAuthority/9" TargetMode="External" Id="R52e1da94eda74ca8" /><Relationship Type="http://schemas.openxmlformats.org/officeDocument/2006/relationships/hyperlink" Target="https://meteor-uat.aihw.gov.au/content/559066" TargetMode="External" Id="R30baaffc01274f5b" /><Relationship Type="http://schemas.openxmlformats.org/officeDocument/2006/relationships/hyperlink" Target="https://meteor-uat.aihw.gov.au/RegistrationAuthority/14" TargetMode="External" Id="Rccdd591db1c24289" /></Relationships>
</file>

<file path=word/_rels/header1.xml.rels>&#65279;<?xml version="1.0" encoding="utf-8"?><Relationships xmlns="http://schemas.openxmlformats.org/package/2006/relationships"><Relationship Type="http://schemas.openxmlformats.org/officeDocument/2006/relationships/image" Target="/media/image.png" Id="R231a280384104816" /></Relationships>
</file>