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8629c02c7a437f"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8-Local arrangements to ensure that patients’ experience of the care that they receive for knee osteoarthritis is regularly measured and acted upon </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8-Local arrangements to ensure that patients’ experience of the care that they receive for knee osteoarthritis is regularly measured and acted upon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8-Local arrangements to ensure that patients’ experience of the care that they receive for knee osteoarthritis is regularly measured and acted upon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afd677b031483c">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Documented evidence of local arrangements to ensure that patients’ experience of the care that they receive for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2162ac738ecf4ced">
              <w:r>
                <w:rPr>
                  <w:rStyle w:val="Hyperlink"/>
                  <w:b/>
                </w:rPr>
                <w:t xml:space="preserve">osteoarthritis</w:t>
              </w:r>
            </w:hyperlink>
            <w:r>
              <w:rPr>
                <w:rStyle w:val="row-content-rich-text"/>
              </w:rPr>
              <w:t xml:space="preserve"> is regularly measured through surveys and interviews, and acted upon to improve patient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experience is an outcome of healthcare, and good patient experiences are positively related to other aspects of healthcare (RACGP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df662c5a88446a">
              <w:r>
                <w:rPr>
                  <w:rStyle w:val="Hyperlink"/>
                </w:rPr>
                <w:t xml:space="preserve">Clinical care standard indicators: osteoarthritis of the knee</w:t>
              </w:r>
            </w:hyperlink>
          </w:p>
          <w:p>
            <w:pPr>
              <w:pStyle w:val="registration-status"/>
              <w:spacing w:before="0" w:after="0"/>
            </w:pPr>
            <w:hyperlink w:history="true" r:id="R54e71bb7c52b4d20">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local arrangements should specify that patients’ experience of the care that they receive for knee osteoarthritis is regularly measured and acted upon. Measurement of patients’ experience should be in all aspects of care for knee osteoarthritis, including:</w:t>
            </w:r>
          </w:p>
          <w:p>
            <w:pPr>
              <w:pStyle w:val="ListParagraph"/>
              <w:numPr>
                <w:ilvl w:val="0"/>
                <w:numId w:val="2"/>
              </w:numPr>
            </w:pPr>
            <w:r>
              <w:rPr>
                <w:rStyle w:val="row-content-rich-text"/>
              </w:rPr>
              <w:t xml:space="preserve">assessment at initial presentation</w:t>
            </w:r>
          </w:p>
          <w:p>
            <w:pPr>
              <w:pStyle w:val="ListParagraph"/>
              <w:numPr>
                <w:ilvl w:val="0"/>
                <w:numId w:val="2"/>
              </w:numPr>
            </w:pPr>
            <w:r>
              <w:rPr>
                <w:rStyle w:val="row-content-rich-text"/>
              </w:rPr>
              <w:t xml:space="preserve">diagnosis</w:t>
            </w:r>
          </w:p>
          <w:p>
            <w:pPr>
              <w:pStyle w:val="ListParagraph"/>
              <w:numPr>
                <w:ilvl w:val="0"/>
                <w:numId w:val="2"/>
              </w:numPr>
            </w:pPr>
            <w:r>
              <w:rPr>
                <w:rStyle w:val="row-content-rich-text"/>
              </w:rPr>
              <w:t xml:space="preserve">education and self-management</w:t>
            </w:r>
          </w:p>
          <w:p>
            <w:pPr>
              <w:pStyle w:val="ListParagraph"/>
              <w:numPr>
                <w:ilvl w:val="0"/>
                <w:numId w:val="2"/>
              </w:numPr>
            </w:pPr>
            <w:r>
              <w:rPr>
                <w:rStyle w:val="row-content-rich-text"/>
              </w:rPr>
              <w:t xml:space="preserve">advice and support on joint protection, exercise and weight loss</w:t>
            </w:r>
          </w:p>
          <w:p>
            <w:pPr>
              <w:pStyle w:val="ListParagraph"/>
              <w:numPr>
                <w:ilvl w:val="0"/>
                <w:numId w:val="2"/>
              </w:numPr>
            </w:pPr>
            <w:r>
              <w:rPr>
                <w:rStyle w:val="row-content-rich-text"/>
              </w:rPr>
              <w:t xml:space="preserve">information and prescription/recommendation of medicines used to manage symptoms</w:t>
            </w:r>
          </w:p>
          <w:p>
            <w:pPr>
              <w:pStyle w:val="ListParagraph"/>
              <w:numPr>
                <w:ilvl w:val="0"/>
                <w:numId w:val="2"/>
              </w:numPr>
            </w:pPr>
            <w:r>
              <w:rPr>
                <w:rStyle w:val="row-content-rich-text"/>
              </w:rPr>
              <w:t xml:space="preserve">regularity of review and appropriate referral</w:t>
            </w:r>
          </w:p>
          <w:p>
            <w:pPr>
              <w:pStyle w:val="ListParagraph"/>
              <w:numPr>
                <w:ilvl w:val="0"/>
                <w:numId w:val="2"/>
              </w:numPr>
            </w:pPr>
            <w:r>
              <w:rPr>
                <w:rStyle w:val="row-content-rich-text"/>
              </w:rPr>
              <w:t xml:space="preserve">information about any surgical procedures being contemplated/recommended.</w:t>
            </w:r>
          </w:p>
          <w:p>
            <w:pPr>
              <w:spacing w:after="160"/>
            </w:pPr>
            <w:r>
              <w:rPr>
                <w:rStyle w:val="row-content-rich-text"/>
              </w:rPr>
              <w:t xml:space="preserve">These measurements should occur regularly (i.e. at least once every three years) and should be undertaken using a validated questionnaire (which can be administered as a paper-based form; telephone, or online survey; or a face-to-face interview with the patient). Mechanisms should also be in place to act upon the results to improve care (RACGP 2010).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Healthcare settings where care is provided to patients with knee osteoarthritis that have documented evidence of local arrangements, such as a policy that specifies that patients’ experience of the care that they receive for knee osteoarthritis is regularly measured and acted upon, should record ‘Yes’. 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Australian College of General Practitioners 2010. Standards for general practices. Melbourne: RACGP.</w:t>
            </w:r>
          </w:p>
        </w:tc>
      </w:tr>
    </w:tbl>
    <w:p>
      <w:r>
        <w:br/>
      </w:r>
    </w:p>
    <w:sectPr>
      <w:footerReference xmlns:r="http://schemas.openxmlformats.org/officeDocument/2006/relationships" w:type="default" r:id="Rfc88348d416343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25f39f055747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88348d416343c6" /><Relationship Type="http://schemas.openxmlformats.org/officeDocument/2006/relationships/header" Target="/word/header1.xml" Id="R19eac040477846f4" /><Relationship Type="http://schemas.openxmlformats.org/officeDocument/2006/relationships/settings" Target="/word/settings.xml" Id="Rdba3498438894c13" /><Relationship Type="http://schemas.openxmlformats.org/officeDocument/2006/relationships/styles" Target="/word/styles.xml" Id="R054dbe4b541348ec" /><Relationship Type="http://schemas.openxmlformats.org/officeDocument/2006/relationships/numbering" Target="/word/numbering.xml" Id="Rd0b10ba9cde945fc" /><Relationship Type="http://schemas.openxmlformats.org/officeDocument/2006/relationships/hyperlink" Target="https://meteor-uat.aihw.gov.au/RegistrationAuthority/14" TargetMode="External" Id="Re4afd677b031483c" /><Relationship Type="http://schemas.openxmlformats.org/officeDocument/2006/relationships/hyperlink" Target="https://meteor-uat.aihw.gov.au/content/644538" TargetMode="External" Id="R2162ac738ecf4ced" /><Relationship Type="http://schemas.openxmlformats.org/officeDocument/2006/relationships/hyperlink" Target="https://meteor-uat.aihw.gov.au/content/644256" TargetMode="External" Id="R34df662c5a88446a" /><Relationship Type="http://schemas.openxmlformats.org/officeDocument/2006/relationships/hyperlink" Target="https://meteor-uat.aihw.gov.au/RegistrationAuthority/14" TargetMode="External" Id="R54e71bb7c52b4d20" /></Relationships>
</file>

<file path=word/_rels/header1.xml.rels>&#65279;<?xml version="1.0" encoding="utf-8"?><Relationships xmlns="http://schemas.openxmlformats.org/package/2006/relationships"><Relationship Type="http://schemas.openxmlformats.org/officeDocument/2006/relationships/image" Target="/media/image.png" Id="R3625f39f0557474f" /></Relationships>
</file>