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ccd04d773344da" /></Relationships>
</file>

<file path=word/document.xml><?xml version="1.0" encoding="utf-8"?>
<w:document xmlns:r="http://schemas.openxmlformats.org/officeDocument/2006/relationships" xmlns:w="http://schemas.openxmlformats.org/wordprocessingml/2006/main">
  <w:body>
    <w:p>
      <w:pPr>
        <w:pStyle w:val="Title"/>
      </w:pPr>
      <w:r>
        <w:t>Revenue data element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9a6501d219421a">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revenue received by establishments for recurrent expenditure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Revenue data element cluster comprises three data elements that provide information on the categories of revenue received by establishments, the total amount of revenue and whether these data are estimated.</w:t>
            </w:r>
          </w:p>
          <w:p>
            <w:pPr>
              <w:spacing w:after="160"/>
            </w:pPr>
            <w:r>
              <w:rPr>
                <w:rStyle w:val="row-content-rich-text"/>
              </w:rPr>
              <w:t xml:space="preserve">The Revenue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Revenue streams</w:t>
                  </w:r>
                </w:p>
              </w:tc>
              <w:tc>
                <w:tcPr>
                  <w:tcW w:w="1050" w:type="pct"/>
                  <w:vAlign w:val="top"/>
                </w:tcPr>
                <w:p>
                  <w:r>
                    <w:rPr>
                      <w:b/>
                    </w:rPr>
                    <w:t xml:space="preserve">Total Australian dollars</w:t>
                  </w:r>
                </w:p>
              </w:tc>
              <w:tc>
                <w:tcPr>
                  <w:tcW w:w="1400" w:type="pct"/>
                  <w:vAlign w:val="top"/>
                </w:tcPr>
                <w:p>
                  <w:r>
                    <w:rPr>
                      <w:b/>
                    </w:rPr>
                    <w:t xml:space="preserve">Estimated data indicator</w:t>
                  </w:r>
                </w:p>
              </w:tc>
            </w:tr>
            <w:tr>
              <w:trPr/>
              <w:tc>
                <w:tcPr>
                  <w:tcW w:w="2500" w:type="pct"/>
                  <w:vAlign w:val="top"/>
                </w:tcPr>
                <w:p>
                  <w:r>
                    <w:t xml:space="preserve">Department of Veterans' Affairs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Compensable schemes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patient revenue</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Commonwealth funding/subsidies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State or territory health authority funding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state or territory funding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National Health Funding Pool - state or territory government component</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National Health Funding Pool - Commonwealth government component</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Infrastructure/facility fees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recoveries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Revenue not elsewhere reported</w:t>
                  </w:r>
                </w:p>
              </w:tc>
              <w:tc>
                <w:tcPr>
                  <w:tcW w:w="1050" w:type="pct"/>
                  <w:vAlign w:val="top"/>
                </w:tcPr>
                <w:p>
                  <w:r>
                    <w:t xml:space="preserve">N[N(13)]</w:t>
                  </w:r>
                </w:p>
              </w:tc>
              <w:tc>
                <w:tcPr>
                  <w:tcW w:w="1400" w:type="pct"/>
                  <w:vAlign w:val="top"/>
                </w:tcPr>
                <w:p>
                  <w:r>
                    <w:t xml:space="preserve">1. Yes</w:t>
                  </w:r>
                  <w:r>
                    <w:br/>
                  </w:r>
                  <w:r>
                    <w:t xml:space="preserve">2. No</w:t>
                  </w:r>
                </w:p>
              </w:tc>
            </w:tr>
          </w:tbl>
          <w:p>
            <w:r>
              <w:t xml:space="preserve">The reported revenue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a154a895ac4309">
              <w:r>
                <w:rPr>
                  <w:rStyle w:val="Hyperlink"/>
                </w:rPr>
                <w:t xml:space="preserve">Revenue data element cluster</w:t>
              </w:r>
            </w:hyperlink>
          </w:p>
          <w:p>
            <w:pPr>
              <w:pStyle w:val="registration-status"/>
              <w:spacing w:before="0" w:after="0"/>
            </w:pPr>
            <w:hyperlink w:history="true" r:id="Rf078466c52fd43ea">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66ba8c22e14aaf">
              <w:r>
                <w:rPr>
                  <w:rStyle w:val="Hyperlink"/>
                </w:rPr>
                <w:t xml:space="preserve">Local Hospital Networks data element cluster</w:t>
              </w:r>
            </w:hyperlink>
          </w:p>
          <w:p>
            <w:pPr>
              <w:pStyle w:val="registration-status"/>
              <w:spacing w:before="0" w:after="0"/>
            </w:pPr>
            <w:hyperlink w:history="true" r:id="Rb37a8f0c7544465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14e331710aa94af7">
              <w:r>
                <w:rPr>
                  <w:rStyle w:val="Hyperlink"/>
                </w:rPr>
                <w:t xml:space="preserve">Local Hospital Networks data element cluster</w:t>
              </w:r>
            </w:hyperlink>
          </w:p>
          <w:p>
            <w:pPr>
              <w:pStyle w:val="registration-status"/>
              <w:spacing w:before="0" w:after="0"/>
            </w:pPr>
            <w:hyperlink w:history="true" r:id="R0ace67562d134cd7">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008bfa7660594520">
              <w:r>
                <w:rPr>
                  <w:rStyle w:val="Hyperlink"/>
                </w:rPr>
                <w:t xml:space="preserve">Local Hospital Networks data element cluster</w:t>
              </w:r>
            </w:hyperlink>
          </w:p>
          <w:p>
            <w:pPr>
              <w:pStyle w:val="registration-status"/>
              <w:spacing w:before="0" w:after="0"/>
            </w:pPr>
            <w:hyperlink w:history="true" r:id="Raf2110fdf1ca4e66">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aa7e17c8eb5f4bce">
              <w:r>
                <w:rPr>
                  <w:rStyle w:val="Hyperlink"/>
                </w:rPr>
                <w:t xml:space="preserve">Local Hospital Networks/Public hospital establishments NMDS 2020–21</w:t>
              </w:r>
            </w:hyperlink>
          </w:p>
          <w:p>
            <w:pPr>
              <w:pStyle w:val="registration-status"/>
              <w:spacing w:before="0" w:after="0"/>
            </w:pPr>
            <w:hyperlink w:history="true" r:id="R48310a54e63e49d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1f43b42e39684f59">
              <w:r>
                <w:rPr>
                  <w:rStyle w:val="Hyperlink"/>
                </w:rPr>
                <w:t xml:space="preserve">Local Hospital Networks/Public hospital establishments NMDS 2021–22</w:t>
              </w:r>
            </w:hyperlink>
          </w:p>
          <w:p>
            <w:pPr>
              <w:pStyle w:val="registration-status"/>
              <w:spacing w:before="0" w:after="0"/>
            </w:pPr>
            <w:hyperlink w:history="true" r:id="Ra8d3e3fbde634b4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59efd5df608d4cdf">
              <w:r>
                <w:rPr>
                  <w:rStyle w:val="Hyperlink"/>
                </w:rPr>
                <w:t xml:space="preserve">Local Hospital Networks/Public hospital establishments NMDS 2022–23</w:t>
              </w:r>
            </w:hyperlink>
          </w:p>
          <w:p>
            <w:pPr>
              <w:pStyle w:val="registration-status"/>
              <w:spacing w:before="0" w:after="0"/>
            </w:pPr>
            <w:hyperlink w:history="true" r:id="R7502cd7100724f0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69c87f3e0062467e">
              <w:r>
                <w:rPr>
                  <w:rStyle w:val="Hyperlink"/>
                </w:rPr>
                <w:t xml:space="preserve">Public hospital establishments data element cluster</w:t>
              </w:r>
            </w:hyperlink>
          </w:p>
          <w:p>
            <w:pPr>
              <w:pStyle w:val="registration-status"/>
              <w:spacing w:before="0" w:after="0"/>
            </w:pPr>
            <w:hyperlink w:history="true" r:id="Rc3d38dccb575486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279e4b5913544ddc">
              <w:r>
                <w:rPr>
                  <w:rStyle w:val="Hyperlink"/>
                </w:rPr>
                <w:t xml:space="preserve">Public hospital establishments data element cluster</w:t>
              </w:r>
            </w:hyperlink>
          </w:p>
          <w:p>
            <w:pPr>
              <w:pStyle w:val="registration-status"/>
              <w:spacing w:before="0" w:after="0"/>
            </w:pPr>
            <w:hyperlink w:history="true" r:id="Rb814e568666e4191">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bdbb0c8aef3e402e">
              <w:r>
                <w:rPr>
                  <w:rStyle w:val="Hyperlink"/>
                </w:rPr>
                <w:t xml:space="preserve">Public hospital establishments data element cluster</w:t>
              </w:r>
            </w:hyperlink>
          </w:p>
          <w:p>
            <w:pPr>
              <w:pStyle w:val="registration-status"/>
              <w:spacing w:before="0" w:after="0"/>
            </w:pPr>
            <w:hyperlink w:history="true" r:id="Ra0b27142a63e4471">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54636e941d904e77">
              <w:r>
                <w:rPr>
                  <w:rStyle w:val="Hyperlink"/>
                </w:rPr>
                <w:t xml:space="preserve">State or territory health authority data element cluster</w:t>
              </w:r>
            </w:hyperlink>
          </w:p>
          <w:p>
            <w:pPr>
              <w:pStyle w:val="registration-status"/>
              <w:spacing w:before="0" w:after="0"/>
            </w:pPr>
            <w:hyperlink w:history="true" r:id="R61ba523c83744db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74f00a425acc4c9f">
              <w:r>
                <w:rPr>
                  <w:rStyle w:val="Hyperlink"/>
                </w:rPr>
                <w:t xml:space="preserve">State or territory health authority data element cluster</w:t>
              </w:r>
            </w:hyperlink>
          </w:p>
          <w:p>
            <w:pPr>
              <w:pStyle w:val="registration-status"/>
              <w:spacing w:before="0" w:after="0"/>
            </w:pPr>
            <w:hyperlink w:history="true" r:id="R5e8d128e8b854815">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4a07e18196f2448c">
              <w:r>
                <w:rPr>
                  <w:rStyle w:val="Hyperlink"/>
                </w:rPr>
                <w:t xml:space="preserve">State or territory health authority data element cluster</w:t>
              </w:r>
            </w:hyperlink>
          </w:p>
          <w:p>
            <w:pPr>
              <w:pStyle w:val="registration-status"/>
              <w:spacing w:before="0" w:after="0"/>
            </w:pPr>
            <w:hyperlink w:history="true" r:id="R60668c51df534450">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da8c4484ab44dd">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efc7d28e754b11">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1e47a5ecce4f09">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88773b66ddfd47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643062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800cb1778247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773b66ddfd472a" /><Relationship Type="http://schemas.openxmlformats.org/officeDocument/2006/relationships/header" Target="/word/header1.xml" Id="R8bc947d5ab504b84" /><Relationship Type="http://schemas.openxmlformats.org/officeDocument/2006/relationships/settings" Target="/word/settings.xml" Id="R0cb9ef3ff4f54942" /><Relationship Type="http://schemas.openxmlformats.org/officeDocument/2006/relationships/styles" Target="/word/styles.xml" Id="Rbe8c0ae8f2924cac" /><Relationship Type="http://schemas.openxmlformats.org/officeDocument/2006/relationships/hyperlink" Target="https://meteor-uat.aihw.gov.au/RegistrationAuthority/14" TargetMode="External" Id="Rea9a6501d219421a" /><Relationship Type="http://schemas.openxmlformats.org/officeDocument/2006/relationships/hyperlink" Target="https://meteor-uat.aihw.gov.au/content/616039" TargetMode="External" Id="R78a154a895ac4309" /><Relationship Type="http://schemas.openxmlformats.org/officeDocument/2006/relationships/hyperlink" Target="https://meteor-uat.aihw.gov.au/RegistrationAuthority/14" TargetMode="External" Id="Rf078466c52fd43ea" /><Relationship Type="http://schemas.openxmlformats.org/officeDocument/2006/relationships/hyperlink" Target="https://meteor-uat.aihw.gov.au/content/643161" TargetMode="External" Id="Rd966ba8c22e14aaf" /><Relationship Type="http://schemas.openxmlformats.org/officeDocument/2006/relationships/hyperlink" Target="https://meteor-uat.aihw.gov.au/RegistrationAuthority/14" TargetMode="External" Id="Rb37a8f0c7544465b" /><Relationship Type="http://schemas.openxmlformats.org/officeDocument/2006/relationships/hyperlink" Target="https://meteor-uat.aihw.gov.au/content/679215" TargetMode="External" Id="R14e331710aa94af7" /><Relationship Type="http://schemas.openxmlformats.org/officeDocument/2006/relationships/hyperlink" Target="https://meteor-uat.aihw.gov.au/RegistrationAuthority/14" TargetMode="External" Id="R0ace67562d134cd7" /><Relationship Type="http://schemas.openxmlformats.org/officeDocument/2006/relationships/hyperlink" Target="https://meteor-uat.aihw.gov.au/content/706382" TargetMode="External" Id="R008bfa7660594520" /><Relationship Type="http://schemas.openxmlformats.org/officeDocument/2006/relationships/hyperlink" Target="https://meteor-uat.aihw.gov.au/RegistrationAuthority/14" TargetMode="External" Id="Raf2110fdf1ca4e66" /><Relationship Type="http://schemas.openxmlformats.org/officeDocument/2006/relationships/hyperlink" Target="https://meteor-uat.aihw.gov.au/content/713848" TargetMode="External" Id="Raa7e17c8eb5f4bce" /><Relationship Type="http://schemas.openxmlformats.org/officeDocument/2006/relationships/hyperlink" Target="https://meteor-uat.aihw.gov.au/RegistrationAuthority/14" TargetMode="External" Id="R48310a54e63e49d4" /><Relationship Type="http://schemas.openxmlformats.org/officeDocument/2006/relationships/hyperlink" Target="https://meteor-uat.aihw.gov.au/content/727356" TargetMode="External" Id="R1f43b42e39684f59" /><Relationship Type="http://schemas.openxmlformats.org/officeDocument/2006/relationships/hyperlink" Target="https://meteor-uat.aihw.gov.au/RegistrationAuthority/14" TargetMode="External" Id="Ra8d3e3fbde634b40" /><Relationship Type="http://schemas.openxmlformats.org/officeDocument/2006/relationships/hyperlink" Target="https://meteor-uat.aihw.gov.au/content/742044" TargetMode="External" Id="R59efd5df608d4cdf" /><Relationship Type="http://schemas.openxmlformats.org/officeDocument/2006/relationships/hyperlink" Target="https://meteor-uat.aihw.gov.au/RegistrationAuthority/14" TargetMode="External" Id="R7502cd7100724f03" /><Relationship Type="http://schemas.openxmlformats.org/officeDocument/2006/relationships/hyperlink" Target="https://meteor-uat.aihw.gov.au/content/643172" TargetMode="External" Id="R69c87f3e0062467e" /><Relationship Type="http://schemas.openxmlformats.org/officeDocument/2006/relationships/hyperlink" Target="https://meteor-uat.aihw.gov.au/RegistrationAuthority/14" TargetMode="External" Id="Rc3d38dccb5754868" /><Relationship Type="http://schemas.openxmlformats.org/officeDocument/2006/relationships/hyperlink" Target="https://meteor-uat.aihw.gov.au/content/679217" TargetMode="External" Id="R279e4b5913544ddc" /><Relationship Type="http://schemas.openxmlformats.org/officeDocument/2006/relationships/hyperlink" Target="https://meteor-uat.aihw.gov.au/RegistrationAuthority/14" TargetMode="External" Id="Rb814e568666e4191" /><Relationship Type="http://schemas.openxmlformats.org/officeDocument/2006/relationships/hyperlink" Target="https://meteor-uat.aihw.gov.au/content/706483" TargetMode="External" Id="Rbdbb0c8aef3e402e" /><Relationship Type="http://schemas.openxmlformats.org/officeDocument/2006/relationships/hyperlink" Target="https://meteor-uat.aihw.gov.au/RegistrationAuthority/14" TargetMode="External" Id="Ra0b27142a63e4471" /><Relationship Type="http://schemas.openxmlformats.org/officeDocument/2006/relationships/hyperlink" Target="https://meteor-uat.aihw.gov.au/content/643152" TargetMode="External" Id="R54636e941d904e77" /><Relationship Type="http://schemas.openxmlformats.org/officeDocument/2006/relationships/hyperlink" Target="https://meteor-uat.aihw.gov.au/RegistrationAuthority/14" TargetMode="External" Id="R61ba523c83744db5" /><Relationship Type="http://schemas.openxmlformats.org/officeDocument/2006/relationships/hyperlink" Target="https://meteor-uat.aihw.gov.au/content/685096" TargetMode="External" Id="R74f00a425acc4c9f" /><Relationship Type="http://schemas.openxmlformats.org/officeDocument/2006/relationships/hyperlink" Target="https://meteor-uat.aihw.gov.au/RegistrationAuthority/14" TargetMode="External" Id="R5e8d128e8b854815" /><Relationship Type="http://schemas.openxmlformats.org/officeDocument/2006/relationships/hyperlink" Target="https://meteor-uat.aihw.gov.au/content/706488" TargetMode="External" Id="R4a07e18196f2448c" /><Relationship Type="http://schemas.openxmlformats.org/officeDocument/2006/relationships/hyperlink" Target="https://meteor-uat.aihw.gov.au/RegistrationAuthority/14" TargetMode="External" Id="R60668c51df534450" /><Relationship Type="http://schemas.openxmlformats.org/officeDocument/2006/relationships/hyperlink" Target="https://meteor-uat.aihw.gov.au/content/548891" TargetMode="External" Id="R0dda8c4484ab44dd" /><Relationship Type="http://schemas.openxmlformats.org/officeDocument/2006/relationships/hyperlink" Target="https://meteor-uat.aihw.gov.au/content/643082" TargetMode="External" Id="Ra9efc7d28e754b11" /><Relationship Type="http://schemas.openxmlformats.org/officeDocument/2006/relationships/hyperlink" Target="https://meteor-uat.aihw.gov.au/content/643142" TargetMode="External" Id="R911e47a5ecce4f09" /></Relationships>
</file>

<file path=word/_rels/header1.xml.rels>&#65279;<?xml version="1.0" encoding="utf-8"?><Relationships xmlns="http://schemas.openxmlformats.org/package/2006/relationships"><Relationship Type="http://schemas.openxmlformats.org/officeDocument/2006/relationships/image" Target="/media/image.png" Id="R32800cb177824710" /></Relationships>
</file>