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c3e6f90f8b4b09" /></Relationships>
</file>

<file path=word/document.xml><?xml version="1.0" encoding="utf-8"?>
<w:document xmlns:r="http://schemas.openxmlformats.org/officeDocument/2006/relationships" xmlns:w="http://schemas.openxmlformats.org/wordprocessingml/2006/main">
  <w:body>
    <w:p>
      <w:pPr>
        <w:pStyle w:val="Title"/>
      </w:pPr>
      <w:r>
        <w:t>Public hospital revenue streams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f4d28c87a4b8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revenue relating to public hospitals.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w:t>
            </w:r>
          </w:p>
          <w:p>
            <w:pPr>
              <w:spacing w:after="160"/>
            </w:pPr>
            <w:r>
              <w:rPr>
                <w:rStyle w:val="row-content-rich-text"/>
              </w:rPr>
              <w:t xml:space="preserve">Includes only those funds in the pool that were provided by the Commonwealth government. Amounts recorded in the general ledger may differ from the health funding paid by the Commonwealth government to the state/territory government within the same financial period.</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trillions of dollars. Rounded to nearest whole dollar.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2d8c25955641d9">
              <w:r>
                <w:rPr>
                  <w:rStyle w:val="Hyperlink"/>
                </w:rPr>
                <w:t xml:space="preserve">Public hospital revenue streams code N[N]</w:t>
              </w:r>
            </w:hyperlink>
          </w:p>
          <w:p>
            <w:pPr>
              <w:pStyle w:val="registration-status"/>
              <w:spacing w:before="0" w:after="0"/>
            </w:pPr>
            <w:hyperlink w:history="true" r:id="R9f178598c7d045e6">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cb04a7000543ab">
              <w:r>
                <w:rPr>
                  <w:rStyle w:val="Hyperlink"/>
                </w:rPr>
                <w:t xml:space="preserve">Establishment—public hospital recurrent expenditure related revenue, revenue streams code N[N]</w:t>
              </w:r>
            </w:hyperlink>
          </w:p>
          <w:p>
            <w:pPr>
              <w:pStyle w:val="registration-status"/>
              <w:spacing w:before="0" w:after="0"/>
            </w:pPr>
            <w:hyperlink w:history="true" r:id="Rf12c964062284a1a">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5729820c9ae8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9cb50eb15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9820c9ae84473" /><Relationship Type="http://schemas.openxmlformats.org/officeDocument/2006/relationships/header" Target="/word/header1.xml" Id="Rb3168157b52d4174" /><Relationship Type="http://schemas.openxmlformats.org/officeDocument/2006/relationships/settings" Target="/word/settings.xml" Id="R77c5392cd5e74683" /><Relationship Type="http://schemas.openxmlformats.org/officeDocument/2006/relationships/styles" Target="/word/styles.xml" Id="R1165a77c8a124a7b" /><Relationship Type="http://schemas.openxmlformats.org/officeDocument/2006/relationships/numbering" Target="/word/numbering.xml" Id="R5966785ef41141ad" /><Relationship Type="http://schemas.openxmlformats.org/officeDocument/2006/relationships/hyperlink" Target="https://meteor-uat.aihw.gov.au/RegistrationAuthority/14" TargetMode="External" Id="R0f5f4d28c87a4b8b" /><Relationship Type="http://schemas.openxmlformats.org/officeDocument/2006/relationships/hyperlink" Target="https://meteor-uat.aihw.gov.au/content/542022" TargetMode="External" Id="Raa2d8c25955641d9" /><Relationship Type="http://schemas.openxmlformats.org/officeDocument/2006/relationships/hyperlink" Target="https://meteor-uat.aihw.gov.au/RegistrationAuthority/14" TargetMode="External" Id="R9f178598c7d045e6" /><Relationship Type="http://schemas.openxmlformats.org/officeDocument/2006/relationships/hyperlink" Target="https://meteor-uat.aihw.gov.au/content/643082" TargetMode="External" Id="R6dcb04a7000543ab" /><Relationship Type="http://schemas.openxmlformats.org/officeDocument/2006/relationships/hyperlink" Target="https://meteor-uat.aihw.gov.au/RegistrationAuthority/14" TargetMode="External" Id="Rf12c964062284a1a" /></Relationships>
</file>

<file path=word/_rels/header1.xml.rels>&#65279;<?xml version="1.0" encoding="utf-8"?><Relationships xmlns="http://schemas.openxmlformats.org/package/2006/relationships"><Relationship Type="http://schemas.openxmlformats.org/officeDocument/2006/relationships/image" Target="/media/image.png" Id="Rad59cb50eb154a8c" /></Relationships>
</file>