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8688acf5364893"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hysterectomy hospitalisations per 100,000 women, aged 15 years and over,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hysterectomy hospitalisations per 100,000 women, aged 15 years and over,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Hysterectomy hospitalisations, 15 years and over,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2967b563384076">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hysterectomy hospitalisations per 100,000 females aged 15 years and over, age standardised. Data are disaggregated by the area in which the female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cafeacd1ad4449">
              <w:r>
                <w:rPr>
                  <w:rStyle w:val="Hyperlink"/>
                </w:rPr>
                <w:t xml:space="preserve">Australian Atlas of Healthcare Variation 2017</w:t>
              </w:r>
            </w:hyperlink>
          </w:p>
          <w:p>
            <w:pPr>
              <w:pStyle w:val="registration-status"/>
              <w:spacing w:before="0" w:after="0"/>
            </w:pPr>
            <w:hyperlink w:history="true" r:id="R13811fb42be04f9a">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Female,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b/>
                    </w:rPr>
                    <w:t xml:space="preserve">Inclusion codes and description</w:t>
                  </w:r>
                </w:p>
                <w:tbl>
                  <w:tblPr>
                    <w:tblStyle w:val="InnerTable"/>
                    <w:tblW w:w="5000" w:type="pct"/>
                    <w:tblLayout w:type="autofit"/>
                  </w:tblPr>
                  <w:tblGrid>
                    <w:gridCol/>
                    <w:gridCol/>
                  </w:tblGrid>
                  <w:tr>
                    <w:trPr/>
                    <w:tc>
                      <w:tcPr>
                        <w:tcW w:w="1000" w:type="pct"/>
                        <w:vAlign w:val="top"/>
                      </w:tcPr>
                      <w:p>
                        <w:pPr/>
                        <w:r>
                          <w:rPr>
                            <w:rStyle w:val="row-content-rich-text"/>
                            <w:b/>
                          </w:rPr>
                          <w:t xml:space="preserve">ACHI 8th edition code</w:t>
                        </w:r>
                      </w:p>
                    </w:tc>
                    <w:tc>
                      <w:tcPr>
                        <w:tcW w:w="4000" w:type="pct"/>
                        <w:vAlign w:val="top"/>
                      </w:tcPr>
                      <w:p>
                        <w:r>
                          <w:rPr>
                            <w:b/>
                          </w:rPr>
                          <w:t xml:space="preserve">Description</w:t>
                        </w:r>
                      </w:p>
                    </w:tc>
                  </w:tr>
                  <w:tr>
                    <w:trPr/>
                    <w:tc>
                      <w:tcPr>
                        <w:tcW w:w="1000" w:type="pct"/>
                        <w:vAlign w:val="top"/>
                      </w:tcPr>
                      <w:p>
                        <w:r>
                          <w:t xml:space="preserve">90448–00</w:t>
                        </w:r>
                      </w:p>
                    </w:tc>
                    <w:tc>
                      <w:tcPr>
                        <w:tcW w:w="4000" w:type="pct"/>
                        <w:vAlign w:val="top"/>
                      </w:tcPr>
                      <w:p>
                        <w:r>
                          <w:t xml:space="preserve">Subtotal laparoscopic abdominal hysterectomy</w:t>
                        </w:r>
                      </w:p>
                    </w:tc>
                  </w:tr>
                  <w:tr>
                    <w:trPr/>
                    <w:tc>
                      <w:tcPr>
                        <w:tcW w:w="1000" w:type="pct"/>
                        <w:vAlign w:val="top"/>
                      </w:tcPr>
                      <w:p>
                        <w:r>
                          <w:t xml:space="preserve">35653–00</w:t>
                        </w:r>
                      </w:p>
                    </w:tc>
                    <w:tc>
                      <w:tcPr>
                        <w:tcW w:w="4000" w:type="pct"/>
                        <w:vAlign w:val="top"/>
                      </w:tcPr>
                      <w:p>
                        <w:r>
                          <w:t xml:space="preserve">Subtotal abdominal hysterectomy</w:t>
                        </w:r>
                      </w:p>
                    </w:tc>
                  </w:tr>
                  <w:tr>
                    <w:trPr/>
                    <w:tc>
                      <w:tcPr>
                        <w:tcW w:w="1000" w:type="pct"/>
                        <w:vAlign w:val="top"/>
                      </w:tcPr>
                      <w:p>
                        <w:r>
                          <w:t xml:space="preserve">90448–01</w:t>
                        </w:r>
                      </w:p>
                    </w:tc>
                    <w:tc>
                      <w:tcPr>
                        <w:tcW w:w="4000" w:type="pct"/>
                        <w:vAlign w:val="top"/>
                      </w:tcPr>
                      <w:p>
                        <w:r>
                          <w:t xml:space="preserve">Total laparoscopic abdominal hysterectomy</w:t>
                        </w:r>
                      </w:p>
                    </w:tc>
                  </w:tr>
                  <w:tr>
                    <w:trPr/>
                    <w:tc>
                      <w:tcPr>
                        <w:tcW w:w="1000" w:type="pct"/>
                        <w:vAlign w:val="top"/>
                      </w:tcPr>
                      <w:p>
                        <w:r>
                          <w:t xml:space="preserve">35653–01</w:t>
                        </w:r>
                      </w:p>
                    </w:tc>
                    <w:tc>
                      <w:tcPr>
                        <w:tcW w:w="4000" w:type="pct"/>
                        <w:vAlign w:val="top"/>
                      </w:tcPr>
                      <w:p>
                        <w:r>
                          <w:t xml:space="preserve">Total abdominal hysterectomy</w:t>
                        </w:r>
                      </w:p>
                    </w:tc>
                  </w:tr>
                  <w:tr>
                    <w:trPr/>
                    <w:tc>
                      <w:tcPr>
                        <w:tcW w:w="1000" w:type="pct"/>
                        <w:vAlign w:val="top"/>
                      </w:tcPr>
                      <w:p>
                        <w:r>
                          <w:t xml:space="preserve">90448–02</w:t>
                        </w:r>
                      </w:p>
                    </w:tc>
                    <w:tc>
                      <w:tcPr>
                        <w:tcW w:w="4000" w:type="pct"/>
                        <w:vAlign w:val="top"/>
                      </w:tcPr>
                      <w:p>
                        <w:r>
                          <w:t xml:space="preserve">Total laparoscopic abdominal hysterectomy with removal of adnexa</w:t>
                        </w:r>
                      </w:p>
                    </w:tc>
                  </w:tr>
                  <w:tr>
                    <w:trPr/>
                    <w:tc>
                      <w:tcPr>
                        <w:tcW w:w="1000" w:type="pct"/>
                        <w:vAlign w:val="top"/>
                      </w:tcPr>
                      <w:p>
                        <w:r>
                          <w:t xml:space="preserve">35653–04</w:t>
                        </w:r>
                      </w:p>
                    </w:tc>
                    <w:tc>
                      <w:tcPr>
                        <w:tcW w:w="4000" w:type="pct"/>
                        <w:vAlign w:val="top"/>
                      </w:tcPr>
                      <w:p>
                        <w:r>
                          <w:t xml:space="preserve">Total abdominal hysterectomy with removal of adnexa</w:t>
                        </w:r>
                      </w:p>
                    </w:tc>
                  </w:tr>
                  <w:tr>
                    <w:trPr/>
                    <w:tc>
                      <w:tcPr>
                        <w:tcW w:w="1000" w:type="pct"/>
                        <w:vAlign w:val="top"/>
                      </w:tcPr>
                      <w:p>
                        <w:r>
                          <w:t xml:space="preserve">35661–00</w:t>
                        </w:r>
                      </w:p>
                    </w:tc>
                    <w:tc>
                      <w:tcPr>
                        <w:tcW w:w="4000" w:type="pct"/>
                        <w:vAlign w:val="top"/>
                      </w:tcPr>
                      <w:p>
                        <w:r>
                          <w:t xml:space="preserve">Abdominal hysterectomy with extensive retroperitoneal dissection</w:t>
                        </w:r>
                      </w:p>
                    </w:tc>
                  </w:tr>
                  <w:tr>
                    <w:trPr/>
                    <w:tc>
                      <w:tcPr>
                        <w:tcW w:w="1000" w:type="pct"/>
                        <w:vAlign w:val="top"/>
                      </w:tcPr>
                      <w:p>
                        <w:r>
                          <w:t xml:space="preserve">35670–00</w:t>
                        </w:r>
                      </w:p>
                    </w:tc>
                    <w:tc>
                      <w:tcPr>
                        <w:tcW w:w="4000" w:type="pct"/>
                        <w:vAlign w:val="top"/>
                      </w:tcPr>
                      <w:p>
                        <w:r>
                          <w:t xml:space="preserve">Abdominal hysterectomy with radical excision of pelvic lymph nodes</w:t>
                        </w:r>
                      </w:p>
                    </w:tc>
                  </w:tr>
                  <w:tr>
                    <w:trPr/>
                    <w:tc>
                      <w:tcPr>
                        <w:tcW w:w="1000" w:type="pct"/>
                        <w:vAlign w:val="top"/>
                      </w:tcPr>
                      <w:p>
                        <w:r>
                          <w:t xml:space="preserve">35667–00</w:t>
                        </w:r>
                      </w:p>
                    </w:tc>
                    <w:tc>
                      <w:tcPr>
                        <w:tcW w:w="4000" w:type="pct"/>
                        <w:vAlign w:val="top"/>
                      </w:tcPr>
                      <w:p>
                        <w:r>
                          <w:t xml:space="preserve">Radical abdominal hysterectomy</w:t>
                        </w:r>
                      </w:p>
                    </w:tc>
                  </w:tr>
                  <w:tr>
                    <w:trPr/>
                    <w:tc>
                      <w:tcPr>
                        <w:tcW w:w="1000" w:type="pct"/>
                        <w:vAlign w:val="top"/>
                      </w:tcPr>
                      <w:p>
                        <w:r>
                          <w:t xml:space="preserve">35664–00</w:t>
                        </w:r>
                      </w:p>
                    </w:tc>
                    <w:tc>
                      <w:tcPr>
                        <w:tcW w:w="4000" w:type="pct"/>
                        <w:vAlign w:val="top"/>
                      </w:tcPr>
                      <w:p>
                        <w:r>
                          <w:t xml:space="preserve">Radical abdominal hysterectomy with radical excision of pelvic lymph nodes</w:t>
                        </w:r>
                      </w:p>
                    </w:tc>
                  </w:tr>
                  <w:tr>
                    <w:trPr/>
                    <w:tc>
                      <w:tcPr>
                        <w:tcW w:w="1000" w:type="pct"/>
                        <w:vAlign w:val="top"/>
                      </w:tcPr>
                      <w:p>
                        <w:r>
                          <w:t xml:space="preserve">35657–00</w:t>
                        </w:r>
                      </w:p>
                    </w:tc>
                    <w:tc>
                      <w:tcPr>
                        <w:tcW w:w="4000" w:type="pct"/>
                        <w:vAlign w:val="top"/>
                      </w:tcPr>
                      <w:p>
                        <w:r>
                          <w:t xml:space="preserve">Vaginal hysterectomy</w:t>
                        </w:r>
                      </w:p>
                    </w:tc>
                  </w:tr>
                  <w:tr>
                    <w:trPr/>
                    <w:tc>
                      <w:tcPr>
                        <w:tcW w:w="1000" w:type="pct"/>
                        <w:vAlign w:val="top"/>
                      </w:tcPr>
                      <w:p>
                        <w:r>
                          <w:t xml:space="preserve">35673–02</w:t>
                        </w:r>
                      </w:p>
                    </w:tc>
                    <w:tc>
                      <w:tcPr>
                        <w:tcW w:w="4000" w:type="pct"/>
                        <w:vAlign w:val="top"/>
                      </w:tcPr>
                      <w:p>
                        <w:r>
                          <w:t xml:space="preserve">Vaginal hysterectomy with removal of adnexa</w:t>
                        </w:r>
                      </w:p>
                    </w:tc>
                  </w:tr>
                  <w:tr>
                    <w:trPr/>
                    <w:tc>
                      <w:tcPr>
                        <w:tcW w:w="1000" w:type="pct"/>
                        <w:vAlign w:val="top"/>
                      </w:tcPr>
                      <w:p>
                        <w:r>
                          <w:t xml:space="preserve">35667–01</w:t>
                        </w:r>
                      </w:p>
                    </w:tc>
                    <w:tc>
                      <w:tcPr>
                        <w:tcW w:w="4000" w:type="pct"/>
                        <w:vAlign w:val="top"/>
                      </w:tcPr>
                      <w:p>
                        <w:r>
                          <w:t xml:space="preserve">Radical vaginal hysterectomy</w:t>
                        </w:r>
                      </w:p>
                    </w:tc>
                  </w:tr>
                  <w:tr>
                    <w:trPr/>
                    <w:tc>
                      <w:tcPr>
                        <w:tcW w:w="1000" w:type="pct"/>
                        <w:vAlign w:val="top"/>
                      </w:tcPr>
                      <w:p>
                        <w:r>
                          <w:t xml:space="preserve">35664–01</w:t>
                        </w:r>
                      </w:p>
                    </w:tc>
                    <w:tc>
                      <w:tcPr>
                        <w:tcW w:w="4000" w:type="pct"/>
                        <w:vAlign w:val="top"/>
                      </w:tcPr>
                      <w:p>
                        <w:r>
                          <w:t xml:space="preserve">Radical vaginal hysterectomy with radical excision of pelvic lymph nodes</w:t>
                        </w:r>
                      </w:p>
                    </w:tc>
                  </w:tr>
                  <w:tr>
                    <w:trPr/>
                    <w:tc>
                      <w:tcPr>
                        <w:tcW w:w="1000" w:type="pct"/>
                        <w:vAlign w:val="top"/>
                      </w:tcPr>
                      <w:p>
                        <w:r>
                          <w:t xml:space="preserve">90450–00</w:t>
                        </w:r>
                      </w:p>
                    </w:tc>
                    <w:tc>
                      <w:tcPr>
                        <w:tcW w:w="4000" w:type="pct"/>
                        <w:vAlign w:val="top"/>
                      </w:tcPr>
                      <w:p>
                        <w:r>
                          <w:t xml:space="preserve">Anterior pelvic exenteration</w:t>
                        </w:r>
                      </w:p>
                    </w:tc>
                  </w:tr>
                  <w:tr>
                    <w:trPr/>
                    <w:tc>
                      <w:tcPr>
                        <w:tcW w:w="1000" w:type="pct"/>
                        <w:vAlign w:val="top"/>
                      </w:tcPr>
                      <w:p>
                        <w:r>
                          <w:t xml:space="preserve">90450–01</w:t>
                        </w:r>
                      </w:p>
                    </w:tc>
                    <w:tc>
                      <w:tcPr>
                        <w:tcW w:w="4000" w:type="pct"/>
                        <w:vAlign w:val="top"/>
                      </w:tcPr>
                      <w:p>
                        <w:r>
                          <w:t xml:space="preserve">Posterior pelvic exenteration</w:t>
                        </w:r>
                      </w:p>
                    </w:tc>
                  </w:tr>
                  <w:tr>
                    <w:trPr/>
                    <w:tc>
                      <w:tcPr>
                        <w:tcW w:w="1000" w:type="pct"/>
                        <w:vAlign w:val="top"/>
                      </w:tcPr>
                      <w:p>
                        <w:r>
                          <w:t xml:space="preserve">90450–02</w:t>
                        </w:r>
                      </w:p>
                    </w:tc>
                    <w:tc>
                      <w:tcPr>
                        <w:tcW w:w="4000" w:type="pct"/>
                        <w:vAlign w:val="top"/>
                      </w:tcPr>
                      <w:p>
                        <w:r>
                          <w:t xml:space="preserve">Total pelvic exenteration</w:t>
                        </w:r>
                      </w:p>
                    </w:tc>
                  </w:tr>
                  <w:tr>
                    <w:trPr/>
                    <w:tc>
                      <w:tcPr>
                        <w:tcW w:w="1000" w:type="pct"/>
                        <w:vAlign w:val="top"/>
                      </w:tcPr>
                      <w:p>
                        <w:r>
                          <w:t xml:space="preserve">35750–00</w:t>
                        </w:r>
                      </w:p>
                    </w:tc>
                    <w:tc>
                      <w:tcPr>
                        <w:tcW w:w="4000" w:type="pct"/>
                        <w:vAlign w:val="top"/>
                      </w:tcPr>
                      <w:p>
                        <w:r>
                          <w:t xml:space="preserve">Laparoscopically assisted vaginal hysterectomy</w:t>
                        </w:r>
                      </w:p>
                    </w:tc>
                  </w:tr>
                  <w:tr>
                    <w:trPr/>
                    <w:tc>
                      <w:tcPr>
                        <w:tcW w:w="1000" w:type="pct"/>
                        <w:vAlign w:val="top"/>
                      </w:tcPr>
                      <w:p>
                        <w:r>
                          <w:t xml:space="preserve">35753–02</w:t>
                        </w:r>
                      </w:p>
                    </w:tc>
                    <w:tc>
                      <w:tcPr>
                        <w:tcW w:w="4000" w:type="pct"/>
                        <w:vAlign w:val="top"/>
                      </w:tcPr>
                      <w:p>
                        <w:r>
                          <w:t xml:space="preserve">Laparoscopically assisted vaginal hysterectomy with removal of adnexa</w:t>
                        </w:r>
                      </w:p>
                    </w:tc>
                  </w:tr>
                </w:tbl>
                <w:p>
                  <w:r>
                    <w:rPr>
                      <w:b/>
                    </w:rPr>
                    <w:t xml:space="preserve"> </w:t>
                  </w:r>
                </w:p>
                <w:p>
                  <w:r>
                    <w:t xml:space="preserve">Include records with at least one of the listed procedures. A record with more than one of the listed procedures is only counted once.</w:t>
                  </w:r>
                </w:p>
                <w:p>
                  <w:r>
                    <w:rPr>
                      <w:b/>
                    </w:rPr>
                    <w:t xml:space="preserve"> </w:t>
                  </w:r>
                </w:p>
                <w:p>
                  <w:r>
                    <w:rPr>
                      <w:b/>
                    </w:rPr>
                    <w:t xml:space="preserve">Exclusion codes, description and additional information. </w:t>
                  </w:r>
                </w:p>
                <w:tbl>
                  <w:tblPr>
                    <w:tblStyle w:val="InnerTable"/>
                    <w:tblW w:w="5000" w:type="pct"/>
                    <w:tblLayout w:type="autofit"/>
                  </w:tblPr>
                  <w:tblGrid>
                    <w:gridCol/>
                    <w:gridCol/>
                    <w:gridCol/>
                  </w:tblGrid>
                  <w:tr>
                    <w:trPr/>
                    <w:tc>
                      <w:tcPr>
                        <w:tcW w:w="900" w:type="pct"/>
                        <w:vAlign w:val="top"/>
                      </w:tcPr>
                      <w:p>
                        <w:r>
                          <w:rPr>
                            <w:b/>
                          </w:rPr>
                          <w:t xml:space="preserve">ICD-10-AM 8th edition code</w:t>
                        </w:r>
                      </w:p>
                    </w:tc>
                    <w:tc>
                      <w:tcPr>
                        <w:tcW w:w="1550" w:type="pct"/>
                        <w:vAlign w:val="top"/>
                      </w:tcPr>
                      <w:p>
                        <w:r>
                          <w:rPr>
                            <w:b/>
                          </w:rPr>
                          <w:t xml:space="preserve">Description</w:t>
                        </w:r>
                      </w:p>
                    </w:tc>
                    <w:tc>
                      <w:tcPr>
                        <w:tcW w:w="2500" w:type="pct"/>
                        <w:vAlign w:val="top"/>
                      </w:tcPr>
                      <w:p>
                        <w:r>
                          <w:rPr>
                            <w:b/>
                          </w:rPr>
                          <w:t xml:space="preserve">Additional information</w:t>
                        </w:r>
                      </w:p>
                    </w:tc>
                  </w:tr>
                  <w:tr>
                    <w:trPr/>
                    <w:tc>
                      <w:tcPr>
                        <w:tcW w:w="900" w:type="pct"/>
                        <w:vAlign w:val="top"/>
                      </w:tcPr>
                      <w:p>
                        <w:r>
                          <w:t xml:space="preserve">C51-C58</w:t>
                        </w:r>
                      </w:p>
                    </w:tc>
                    <w:tc>
                      <w:tcPr>
                        <w:tcW w:w="1550" w:type="pct"/>
                        <w:vAlign w:val="top"/>
                      </w:tcPr>
                      <w:p>
                        <w:r>
                          <w:t xml:space="preserve">Malignant neoplasms of female genital organs (primary)</w:t>
                        </w:r>
                      </w:p>
                    </w:tc>
                    <w:tc>
                      <w:tcPr>
                        <w:tcW w:w="2500" w:type="pct"/>
                        <w:vMerge w:val="restart"/>
                        <w:vAlign w:val="top"/>
                      </w:tcPr>
                      <w:p>
                        <w:r>
                          <w:t xml:space="preserve">As principal or additional diagnosis code</w:t>
                        </w:r>
                      </w:p>
                    </w:tc>
                  </w:tr>
                  <w:tr>
                    <w:trPr/>
                    <w:tc>
                      <w:tcPr>
                        <w:tcW w:w="900" w:type="pct"/>
                        <w:vAlign w:val="top"/>
                      </w:tcPr>
                      <w:p>
                        <w:r>
                          <w:t xml:space="preserve">C79.82</w:t>
                        </w:r>
                      </w:p>
                    </w:tc>
                    <w:tc>
                      <w:tcPr>
                        <w:tcW w:w="1550" w:type="pct"/>
                        <w:vMerge/>
                      </w:tcPr>
                      <w:p/>
                    </w:tc>
                    <w:tc>
                      <w:tcPr>
                        <w:tcW w:w="2500" w:type="pct"/>
                        <w:vAlign w:val="top"/>
                      </w:tcPr>
                      <w:p>
                        <w:r>
                          <w:t xml:space="preserve">Secondary malignant neoplasm of genital organs</w:t>
                        </w:r>
                      </w:p>
                    </w:tc>
                  </w:tr>
                </w:tbl>
                <w:p>
                  <w:r>
                    <w:rPr>
                      <w:b/>
                    </w:rPr>
                    <w:t xml:space="preserve"> </w:t>
                  </w:r>
                </w:p>
                <w:p>
                  <w:r>
                    <w:rPr>
                      <w:b/>
                    </w:rPr>
                    <w:t xml:space="preserve">Exclusion codes and description</w:t>
                  </w:r>
                </w:p>
                <w:tbl>
                  <w:tblPr>
                    <w:tblStyle w:val="InnerTable"/>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t xml:space="preserve"> </w:t>
                  </w:r>
                </w:p>
                <w:p>
                  <w:r>
                    <w:t xml:space="preserve">Presented as a number per 100,000 females</w:t>
                  </w:r>
                </w:p>
                <w:p>
                  <w:r>
                    <w:t xml:space="preserve">Rates are directly age standardised to the 2001 Australian female population aged 15 years and over, using 5-year age groups 15–19, 20–24, … , 80–84, 85 and over. </w:t>
                  </w:r>
                </w:p>
                <w:p>
                  <w:r>
                    <w:t xml:space="preserve">Indigenous and other Australian rates are directly age standardised to the 2001 Australian female population aged 15 years and over, using 5-year age groups: 15-19, 20-24, … , 60–64, 65 and over.</w:t>
                  </w:r>
                </w:p>
                <w:p>
                  <w:r>
                    <w:t xml:space="preserve">For more information about age-standardisation in general see </w:t>
                  </w:r>
                  <w:hyperlink w:history="true" r:id="Rbf818cefa0e24b40">
                    <w:r>
                      <w:rPr>
                        <w:rStyle w:val="Hyperlink"/>
                      </w:rPr>
                      <w:t xml:space="preserve">/content/index.phtml/itemId/327276</w:t>
                    </w:r>
                  </w:hyperlink>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w:t>
                  </w:r>
                  <w:r>
                    <w:t xml:space="preserve">         </w:t>
                  </w:r>
                  <w:r>
                    <w:t xml:space="preserve">the total denominator is less than 1,000</w:t>
                  </w:r>
                </w:p>
                <w:p>
                  <w:r>
                    <w:t xml:space="preserve">·</w:t>
                  </w:r>
                  <w:r>
                    <w:t xml:space="preserve">         </w:t>
                  </w:r>
                  <w:r>
                    <w:t xml:space="preserve">the total numerator is less than 20</w:t>
                  </w:r>
                </w:p>
                <w:p>
                  <w:r>
                    <w:t xml:space="preserve">Age standardised rates are suppressed where the denominator for at least one of the age groups used to calculate the rate is below 30</w:t>
                  </w:r>
                  <w:r>
                    <w:t xml:space="preserve">.</w:t>
                  </w:r>
                </w:p>
              </w:tc>
            </w:tr>
            <w:tr>
              <w:trPr/>
              <w:tc>
                <w:tcPr>
                  <w:tcW w:w="500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hospitalisations with hysterectomy,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bcc1a79c6274d5d">
              <w:r>
                <w:rPr>
                  <w:rStyle w:val="Hyperlink"/>
                </w:rPr>
                <w:t xml:space="preserve">Person—date of birth, DDMMYYYY</w:t>
              </w:r>
            </w:hyperlink>
          </w:p>
          <w:p>
            <w:r>
              <w:rPr>
                <w:rStyle w:val="row-content"/>
                <w:b/>
              </w:rPr>
              <w:t xml:space="preserve">NMDS / DSS</w:t>
            </w:r>
          </w:p>
          <w:p>
            <w:hyperlink w:history="true" r:id="R0416d2ff166c4aa6">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92e8b561f04800">
              <w:r>
                <w:rPr>
                  <w:rStyle w:val="Hyperlink"/>
                </w:rPr>
                <w:t xml:space="preserve">Episode of admitted patient care—procedure, code (ACHI 8th edn) NNNNN-NN</w:t>
              </w:r>
            </w:hyperlink>
          </w:p>
          <w:p>
            <w:r>
              <w:rPr>
                <w:rStyle w:val="row-content"/>
                <w:b/>
              </w:rPr>
              <w:t xml:space="preserve">Data Source</w:t>
            </w:r>
          </w:p>
          <w:p>
            <w:hyperlink w:history="true" r:id="R06bf3948b4af4bc5">
              <w:r>
                <w:rPr>
                  <w:rStyle w:val="Hyperlink"/>
                </w:rPr>
                <w:t xml:space="preserve">National Hospital Morbidity Database (NHMD)</w:t>
              </w:r>
            </w:hyperlink>
          </w:p>
          <w:p>
            <w:r>
              <w:rPr>
                <w:rStyle w:val="row-content"/>
                <w:b/>
              </w:rPr>
              <w:t xml:space="preserve">NMDS / DSS</w:t>
            </w:r>
          </w:p>
          <w:p>
            <w:hyperlink w:history="true" r:id="Ra4ac3604ba004e51">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f5fab8bc96445c">
              <w:r>
                <w:rPr>
                  <w:rStyle w:val="Hyperlink"/>
                </w:rPr>
                <w:t xml:space="preserve">Episode of care—principal diagnosis, code (ICD-10-AM 8th edn) ANN{.N[N]}</w:t>
              </w:r>
            </w:hyperlink>
          </w:p>
          <w:p>
            <w:r>
              <w:rPr>
                <w:rStyle w:val="row-content"/>
                <w:b/>
              </w:rPr>
              <w:t xml:space="preserve">Data Source</w:t>
            </w:r>
          </w:p>
          <w:p>
            <w:hyperlink w:history="true" r:id="R37dc4bb6d8d54f63">
              <w:r>
                <w:rPr>
                  <w:rStyle w:val="Hyperlink"/>
                </w:rPr>
                <w:t xml:space="preserve">National Hospital Morbidity Database (NHMD)</w:t>
              </w:r>
            </w:hyperlink>
          </w:p>
          <w:p>
            <w:r>
              <w:rPr>
                <w:rStyle w:val="row-content"/>
                <w:b/>
              </w:rPr>
              <w:t xml:space="preserve">NMDS / DSS</w:t>
            </w:r>
          </w:p>
          <w:p>
            <w:hyperlink w:history="true" r:id="R6d598805595e42ba">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8561f640807428c">
              <w:r>
                <w:rPr>
                  <w:rStyle w:val="Hyperlink"/>
                </w:rPr>
                <w:t xml:space="preserve">Hospital service—care type, code N[N]</w:t>
              </w:r>
            </w:hyperlink>
          </w:p>
          <w:p>
            <w:r>
              <w:rPr>
                <w:rStyle w:val="row-content"/>
                <w:b/>
              </w:rPr>
              <w:t xml:space="preserve">NMDS / DSS</w:t>
            </w:r>
          </w:p>
          <w:p>
            <w:hyperlink w:history="true" r:id="R37fa226762c84f4f">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 Total female population, 15 years and over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af23727f775b4b06">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7305af804e914a4f">
              <w:r>
                <w:rPr>
                  <w:rStyle w:val="Hyperlink"/>
                </w:rPr>
                <w:t xml:space="preserve">Person—estimated resident population of Australia, total people N[N(7)]</w:t>
              </w:r>
            </w:hyperlink>
          </w:p>
          <w:p>
            <w:r>
              <w:rPr>
                <w:rStyle w:val="row-content"/>
                <w:b/>
              </w:rPr>
              <w:t xml:space="preserve">Data Source</w:t>
            </w:r>
          </w:p>
          <w:p>
            <w:hyperlink w:history="true" r:id="Rf6579a0c3a3144eb">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 :</w:t>
            </w:r>
          </w:p>
          <w:p>
            <w:pPr>
              <w:spacing w:after="160"/>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spacing w:after="160"/>
            </w:pPr>
            <w:r>
              <w:rPr>
                <w:rStyle w:val="row-content-rich-text"/>
              </w:rPr>
              <w:t xml:space="preserve">Indigenous status</w:t>
            </w:r>
          </w:p>
          <w:p>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537aabbbbda4aae">
              <w:r>
                <w:rPr>
                  <w:rStyle w:val="Hyperlink"/>
                </w:rPr>
                <w:t xml:space="preserve">Person—area of usual residence, statistical area level 2 (SA2) code (ASGS 2011) N(9)</w:t>
              </w:r>
            </w:hyperlink>
          </w:p>
          <w:p>
            <w:r>
              <w:rPr>
                <w:rStyle w:val="row-content"/>
                <w:b/>
              </w:rPr>
              <w:t xml:space="preserve">Data Source</w:t>
            </w:r>
          </w:p>
          <w:p>
            <w:hyperlink w:history="true" r:id="R67cf8d8f22114d65">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7fca58f2a2a4754">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28a518f12cf44072">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bbe96ddaf924209">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4c1cb3eb64e4ae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a0d2af7212e4d3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p>
          <w:p>
            <w:pPr>
              <w:spacing w:after="160"/>
            </w:pP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b655f9b8eab841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638956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469b285e6144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55f9b8eab8413a" /><Relationship Type="http://schemas.openxmlformats.org/officeDocument/2006/relationships/header" Target="/word/header1.xml" Id="R3c44c035d6664597" /><Relationship Type="http://schemas.openxmlformats.org/officeDocument/2006/relationships/settings" Target="/word/settings.xml" Id="R6e39d637d3ad44ba" /><Relationship Type="http://schemas.openxmlformats.org/officeDocument/2006/relationships/styles" Target="/word/styles.xml" Id="R4a6977f8cfe04f9a" /><Relationship Type="http://schemas.openxmlformats.org/officeDocument/2006/relationships/numbering" Target="/word/numbering.xml" Id="R59b8f4a176504783" /><Relationship Type="http://schemas.openxmlformats.org/officeDocument/2006/relationships/hyperlink" Target="https://meteor-uat.aihw.gov.au/RegistrationAuthority/2" TargetMode="External" Id="R6d2967b563384076" /><Relationship Type="http://schemas.openxmlformats.org/officeDocument/2006/relationships/hyperlink" Target="https://meteor-uat.aihw.gov.au/content/674758" TargetMode="External" Id="Ra2cafeacd1ad4449" /><Relationship Type="http://schemas.openxmlformats.org/officeDocument/2006/relationships/hyperlink" Target="https://meteor-uat.aihw.gov.au/RegistrationAuthority/2" TargetMode="External" Id="R13811fb42be04f9a" /><Relationship Type="http://schemas.openxmlformats.org/officeDocument/2006/relationships/hyperlink" Target="https://meteor-uat.aihw.gov.au/content/327276" TargetMode="External" Id="Rbf818cefa0e24b40" /><Relationship Type="http://schemas.openxmlformats.org/officeDocument/2006/relationships/hyperlink" Target="https://meteor-uat.aihw.gov.au/content/270391" TargetMode="External" Id="R9bcc1a79c6274d5d" /><Relationship Type="http://schemas.openxmlformats.org/officeDocument/2006/relationships/hyperlink" Target="https://meteor-uat.aihw.gov.au/content/535047" TargetMode="External" Id="R0416d2ff166c4aa6" /><Relationship Type="http://schemas.openxmlformats.org/officeDocument/2006/relationships/hyperlink" Target="https://meteor-uat.aihw.gov.au/content/514040" TargetMode="External" Id="R0792e8b561f04800" /><Relationship Type="http://schemas.openxmlformats.org/officeDocument/2006/relationships/hyperlink" Target="https://meteor-uat.aihw.gov.au/content/394352" TargetMode="External" Id="R06bf3948b4af4bc5" /><Relationship Type="http://schemas.openxmlformats.org/officeDocument/2006/relationships/hyperlink" Target="https://meteor-uat.aihw.gov.au/content/535047" TargetMode="External" Id="Ra4ac3604ba004e51" /><Relationship Type="http://schemas.openxmlformats.org/officeDocument/2006/relationships/hyperlink" Target="https://meteor-uat.aihw.gov.au/content/514273" TargetMode="External" Id="R35f5fab8bc96445c" /><Relationship Type="http://schemas.openxmlformats.org/officeDocument/2006/relationships/hyperlink" Target="https://meteor-uat.aihw.gov.au/content/394352" TargetMode="External" Id="R37dc4bb6d8d54f63" /><Relationship Type="http://schemas.openxmlformats.org/officeDocument/2006/relationships/hyperlink" Target="https://meteor-uat.aihw.gov.au/content/535047" TargetMode="External" Id="R6d598805595e42ba" /><Relationship Type="http://schemas.openxmlformats.org/officeDocument/2006/relationships/hyperlink" Target="https://meteor-uat.aihw.gov.au/content/584408" TargetMode="External" Id="R28561f640807428c" /><Relationship Type="http://schemas.openxmlformats.org/officeDocument/2006/relationships/hyperlink" Target="https://meteor-uat.aihw.gov.au/content/535047" TargetMode="External" Id="R37fa226762c84f4f" /><Relationship Type="http://schemas.openxmlformats.org/officeDocument/2006/relationships/hyperlink" Target="https://meteor-uat.aihw.gov.au/content/394092" TargetMode="External" Id="Raf23727f775b4b06" /><Relationship Type="http://schemas.openxmlformats.org/officeDocument/2006/relationships/hyperlink" Target="https://meteor-uat.aihw.gov.au/content/388656" TargetMode="External" Id="R7305af804e914a4f" /><Relationship Type="http://schemas.openxmlformats.org/officeDocument/2006/relationships/hyperlink" Target="https://meteor-uat.aihw.gov.au/content/393625" TargetMode="External" Id="Rf6579a0c3a3144eb" /><Relationship Type="http://schemas.openxmlformats.org/officeDocument/2006/relationships/hyperlink" Target="https://meteor-uat.aihw.gov.au/content/469909" TargetMode="External" Id="R7537aabbbbda4aae" /><Relationship Type="http://schemas.openxmlformats.org/officeDocument/2006/relationships/hyperlink" Target="https://meteor-uat.aihw.gov.au/content/394352" TargetMode="External" Id="R67cf8d8f22114d65" /><Relationship Type="http://schemas.openxmlformats.org/officeDocument/2006/relationships/hyperlink" Target="https://meteor-uat.aihw.gov.au/content/394092" TargetMode="External" Id="Re7fca58f2a2a4754" /><Relationship Type="http://schemas.openxmlformats.org/officeDocument/2006/relationships/hyperlink" Target="https://meteor-uat.aihw.gov.au/content/449223" TargetMode="External" Id="R28a518f12cf44072" /><Relationship Type="http://schemas.openxmlformats.org/officeDocument/2006/relationships/hyperlink" Target="https://meteor-uat.aihw.gov.au/content/394352" TargetMode="External" Id="R3bbe96ddaf924209" /><Relationship Type="http://schemas.openxmlformats.org/officeDocument/2006/relationships/hyperlink" Target="https://meteor-uat.aihw.gov.au/content/393625" TargetMode="External" Id="R04c1cb3eb64e4aec" /><Relationship Type="http://schemas.openxmlformats.org/officeDocument/2006/relationships/hyperlink" Target="https://meteor-uat.aihw.gov.au/content/449216" TargetMode="External" Id="R1a0d2af7212e4d3f" /></Relationships>
</file>

<file path=word/_rels/header1.xml.rels>&#65279;<?xml version="1.0" encoding="utf-8"?><Relationships xmlns="http://schemas.openxmlformats.org/package/2006/relationships"><Relationship Type="http://schemas.openxmlformats.org/officeDocument/2006/relationships/image" Target="/media/image.png" Id="R37469b285e614448" /></Relationships>
</file>