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860e7026b7f4dbf" /></Relationships>
</file>

<file path=word/document.xml><?xml version="1.0" encoding="utf-8"?>
<w:document xmlns:r="http://schemas.openxmlformats.org/officeDocument/2006/relationships" xmlns:w="http://schemas.openxmlformats.org/wordprocessingml/2006/main">
  <w:body>
    <w:p>
      <w:pPr>
        <w:pStyle w:val="Title"/>
      </w:pPr>
      <w:r>
        <w:t>Australian Atlas of  Healthcare Variation: Number of potentially preventable hospitalisations - kidney and urinary tract infections per 100,000 people, 2014-15</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Atlas of  Healthcare Variation: Number of potentially preventable hospitalisations - kidney and urinary tract infections per 100,000 people, 2014-15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 Kidney and urinary tract infection hospitalisations, 2014-15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638929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61d67905294863">
              <w:r>
                <w:rPr>
                  <w:rStyle w:val="Hyperlink"/>
                  <w:color w:val="244061"/>
                </w:rPr>
                <w:t xml:space="preserve">Australian Commission on Safety and Quality in Health Care</w:t>
              </w:r>
            </w:hyperlink>
            <w:r>
              <w:rPr>
                <w:rStyle w:val="row-content"/>
                <w:color w:val="244061"/>
              </w:rPr>
              <w:t xml:space="preserve">, Standard 07/06/2017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potentially preventable hospitalisations for kidney and urinary tract infections per 100,000 people, age and sex standardised. Data are disaggregated by the area in which the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51478e705454a58">
              <w:r>
                <w:rPr>
                  <w:rStyle w:val="Hyperlink"/>
                </w:rPr>
                <w:t xml:space="preserve">Australian Atlas of Healthcare Variation 2017</w:t>
              </w:r>
            </w:hyperlink>
          </w:p>
          <w:p>
            <w:pPr>
              <w:pStyle w:val="registration-status"/>
              <w:spacing w:before="0" w:after="0"/>
            </w:pPr>
            <w:hyperlink w:history="true" r:id="R84b800e1415c41f8">
              <w:r>
                <w:rPr>
                  <w:rStyle w:val="Hyperlink"/>
                  <w:color w:val="244061"/>
                </w:rPr>
                <w:t xml:space="preserve">Australian Commission on Safety and Quality in Health Care</w:t>
              </w:r>
            </w:hyperlink>
            <w:r>
              <w:rPr>
                <w:rStyle w:val="row-content"/>
                <w:color w:val="244061"/>
              </w:rPr>
              <w:t xml:space="preserve">, Standard 07/06/2017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Inclusion codes, description and additional requirements</w:t>
            </w:r>
          </w:p>
          <w:tbl>
            <w:tblPr>
              <w:tblStyle w:val="TableGrid"/>
              <w:tblW w:w="5000" w:type="pct"/>
              <w:tblLayout w:type="autofit"/>
            </w:tblPr>
            <w:tblGrid>
              <w:gridCol/>
              <w:gridCol/>
              <w:gridCol/>
            </w:tblGrid>
            <w:tr>
              <w:trPr/>
              <w:tc>
                <w:tcPr>
                  <w:tcW w:w="1350" w:type="pct"/>
                  <w:vAlign w:val="top"/>
                </w:tcPr>
                <w:p>
                  <w:pPr/>
                  <w:r>
                    <w:rPr>
                      <w:rStyle w:val="row-content-rich-text"/>
                      <w:b/>
                    </w:rPr>
                    <w:t xml:space="preserve">ICD-10-AM 8th edition code</w:t>
                  </w:r>
                </w:p>
              </w:tc>
              <w:tc>
                <w:tcPr>
                  <w:tcW w:w="1100" w:type="pct"/>
                  <w:vAlign w:val="top"/>
                </w:tcPr>
                <w:p>
                  <w:r>
                    <w:rPr>
                      <w:b/>
                    </w:rPr>
                    <w:t xml:space="preserve">ICD-10-AM Description</w:t>
                  </w:r>
                </w:p>
              </w:tc>
              <w:tc>
                <w:tcPr>
                  <w:tcW w:w="2500" w:type="pct"/>
                  <w:vAlign w:val="top"/>
                </w:tcPr>
                <w:p>
                  <w:r>
                    <w:rPr>
                      <w:b/>
                    </w:rPr>
                    <w:t xml:space="preserve">Additional requirements</w:t>
                  </w:r>
                </w:p>
              </w:tc>
            </w:tr>
            <w:tr>
              <w:trPr/>
              <w:tc>
                <w:tcPr>
                  <w:tcW w:w="1350" w:type="pct"/>
                  <w:vAlign w:val="top"/>
                </w:tcPr>
                <w:p>
                  <w:r>
                    <w:t xml:space="preserve">N10</w:t>
                  </w:r>
                </w:p>
              </w:tc>
              <w:tc>
                <w:tcPr>
                  <w:tcW w:w="1100" w:type="pct"/>
                  <w:vAlign w:val="top"/>
                </w:tcPr>
                <w:p>
                  <w:r>
                    <w:t xml:space="preserve">Acute tubulo-interstitial nephritis</w:t>
                  </w:r>
                </w:p>
              </w:tc>
              <w:tc>
                <w:tcPr>
                  <w:tcW w:w="2500" w:type="pct"/>
                  <w:vMerge w:val="restart"/>
                  <w:vAlign w:val="top"/>
                </w:tcPr>
                <w:p>
                  <w:r>
                    <w:t xml:space="preserve">Principal diagnosis only</w:t>
                  </w:r>
                </w:p>
              </w:tc>
            </w:tr>
            <w:tr>
              <w:trPr/>
              <w:tc>
                <w:tcPr>
                  <w:tcW w:w="1350" w:type="pct"/>
                  <w:vAlign w:val="top"/>
                </w:tcPr>
                <w:p>
                  <w:r>
                    <w:t xml:space="preserve">N11.0</w:t>
                  </w:r>
                </w:p>
              </w:tc>
              <w:tc>
                <w:tcPr>
                  <w:tcW w:w="1100" w:type="pct"/>
                  <w:vMerge/>
                </w:tcPr>
                <w:p/>
              </w:tc>
              <w:tc>
                <w:tcPr>
                  <w:tcW w:w="2500" w:type="pct"/>
                  <w:vAlign w:val="top"/>
                </w:tcPr>
                <w:p>
                  <w:r>
                    <w:t xml:space="preserve">Nonobstructive reflux-associated pyelonephritis</w:t>
                  </w:r>
                </w:p>
              </w:tc>
            </w:tr>
            <w:tr>
              <w:trPr/>
              <w:tc>
                <w:tcPr>
                  <w:tcW w:w="1350" w:type="pct"/>
                  <w:vAlign w:val="top"/>
                </w:tcPr>
                <w:p>
                  <w:r>
                    <w:t xml:space="preserve">N11.1</w:t>
                  </w:r>
                </w:p>
              </w:tc>
              <w:tc>
                <w:tcPr>
                  <w:tcW w:w="1100" w:type="pct"/>
                  <w:vMerge/>
                </w:tcPr>
                <w:p/>
              </w:tc>
              <w:tc>
                <w:tcPr>
                  <w:tcW w:w="2500" w:type="pct"/>
                  <w:vAlign w:val="top"/>
                </w:tcPr>
                <w:p>
                  <w:r>
                    <w:t xml:space="preserve">Chronic obstructive pyelonephritis</w:t>
                  </w:r>
                </w:p>
              </w:tc>
            </w:tr>
            <w:tr>
              <w:trPr/>
              <w:tc>
                <w:tcPr>
                  <w:tcW w:w="1350" w:type="pct"/>
                  <w:vAlign w:val="top"/>
                </w:tcPr>
                <w:p>
                  <w:r>
                    <w:t xml:space="preserve">N11.8</w:t>
                  </w:r>
                </w:p>
              </w:tc>
              <w:tc>
                <w:tcPr>
                  <w:tcW w:w="1100" w:type="pct"/>
                  <w:vMerge/>
                </w:tcPr>
                <w:p/>
              </w:tc>
              <w:tc>
                <w:tcPr>
                  <w:tcW w:w="2500" w:type="pct"/>
                  <w:vAlign w:val="top"/>
                </w:tcPr>
                <w:p>
                  <w:r>
                    <w:t xml:space="preserve">Other chronic tubulo-interstitial nephritis</w:t>
                  </w:r>
                </w:p>
              </w:tc>
            </w:tr>
            <w:tr>
              <w:trPr/>
              <w:tc>
                <w:tcPr>
                  <w:tcW w:w="1350" w:type="pct"/>
                  <w:vAlign w:val="top"/>
                </w:tcPr>
                <w:p>
                  <w:r>
                    <w:t xml:space="preserve">N11.9</w:t>
                  </w:r>
                </w:p>
              </w:tc>
              <w:tc>
                <w:tcPr>
                  <w:tcW w:w="1100" w:type="pct"/>
                  <w:vMerge/>
                </w:tcPr>
                <w:p/>
              </w:tc>
              <w:tc>
                <w:tcPr>
                  <w:tcW w:w="2500" w:type="pct"/>
                  <w:vAlign w:val="top"/>
                </w:tcPr>
                <w:p>
                  <w:r>
                    <w:t xml:space="preserve">Chronic tubule-interstitial nephritis, unspecified</w:t>
                  </w:r>
                </w:p>
              </w:tc>
            </w:tr>
            <w:tr>
              <w:trPr/>
              <w:tc>
                <w:tcPr>
                  <w:tcW w:w="1350" w:type="pct"/>
                  <w:vAlign w:val="top"/>
                </w:tcPr>
                <w:p>
                  <w:r>
                    <w:t xml:space="preserve">N12</w:t>
                  </w:r>
                </w:p>
              </w:tc>
              <w:tc>
                <w:tcPr>
                  <w:tcW w:w="1100" w:type="pct"/>
                  <w:vMerge/>
                </w:tcPr>
                <w:p/>
              </w:tc>
              <w:tc>
                <w:tcPr>
                  <w:tcW w:w="2500" w:type="pct"/>
                  <w:vAlign w:val="top"/>
                </w:tcPr>
                <w:p>
                  <w:r>
                    <w:t xml:space="preserve">Tubulo-interstitial nephritis, not specified as acute or chronic</w:t>
                  </w:r>
                </w:p>
              </w:tc>
            </w:tr>
            <w:tr>
              <w:trPr/>
              <w:tc>
                <w:tcPr>
                  <w:tcW w:w="1350" w:type="pct"/>
                  <w:vAlign w:val="top"/>
                </w:tcPr>
                <w:p>
                  <w:r>
                    <w:t xml:space="preserve">N13.6</w:t>
                  </w:r>
                </w:p>
              </w:tc>
              <w:tc>
                <w:tcPr>
                  <w:tcW w:w="1100" w:type="pct"/>
                  <w:vMerge/>
                </w:tcPr>
                <w:p/>
              </w:tc>
              <w:tc>
                <w:tcPr>
                  <w:tcW w:w="2500" w:type="pct"/>
                  <w:vAlign w:val="top"/>
                </w:tcPr>
                <w:p>
                  <w:r>
                    <w:t xml:space="preserve">Pyonephrosis</w:t>
                  </w:r>
                </w:p>
              </w:tc>
            </w:tr>
            <w:tr>
              <w:trPr/>
              <w:tc>
                <w:tcPr>
                  <w:tcW w:w="1350" w:type="pct"/>
                  <w:vAlign w:val="top"/>
                </w:tcPr>
                <w:p>
                  <w:r>
                    <w:t xml:space="preserve">N15.1</w:t>
                  </w:r>
                </w:p>
              </w:tc>
              <w:tc>
                <w:tcPr>
                  <w:tcW w:w="1100" w:type="pct"/>
                  <w:vMerge/>
                </w:tcPr>
                <w:p/>
              </w:tc>
              <w:tc>
                <w:tcPr>
                  <w:tcW w:w="2500" w:type="pct"/>
                  <w:vAlign w:val="top"/>
                </w:tcPr>
                <w:p>
                  <w:r>
                    <w:t xml:space="preserve">Renal and perinephric abscess</w:t>
                  </w:r>
                </w:p>
              </w:tc>
            </w:tr>
            <w:tr>
              <w:trPr/>
              <w:tc>
                <w:tcPr>
                  <w:tcW w:w="1350" w:type="pct"/>
                  <w:vAlign w:val="top"/>
                </w:tcPr>
                <w:p>
                  <w:r>
                    <w:t xml:space="preserve">N15.9</w:t>
                  </w:r>
                </w:p>
              </w:tc>
              <w:tc>
                <w:tcPr>
                  <w:tcW w:w="1100" w:type="pct"/>
                  <w:vMerge/>
                </w:tcPr>
                <w:p/>
              </w:tc>
              <w:tc>
                <w:tcPr>
                  <w:tcW w:w="2500" w:type="pct"/>
                  <w:vAlign w:val="top"/>
                </w:tcPr>
                <w:p>
                  <w:r>
                    <w:t xml:space="preserve">Renal tubulo-interstitial disease, unspecified</w:t>
                  </w:r>
                </w:p>
              </w:tc>
            </w:tr>
            <w:tr>
              <w:trPr/>
              <w:tc>
                <w:tcPr>
                  <w:tcW w:w="1350" w:type="pct"/>
                  <w:vAlign w:val="top"/>
                </w:tcPr>
                <w:p>
                  <w:r>
                    <w:t xml:space="preserve">N28.9</w:t>
                  </w:r>
                </w:p>
              </w:tc>
              <w:tc>
                <w:tcPr>
                  <w:tcW w:w="1100" w:type="pct"/>
                  <w:vMerge/>
                </w:tcPr>
                <w:p/>
              </w:tc>
              <w:tc>
                <w:tcPr>
                  <w:tcW w:w="2500" w:type="pct"/>
                  <w:vAlign w:val="top"/>
                </w:tcPr>
                <w:p>
                  <w:r>
                    <w:t xml:space="preserve">Disorders of kidney and ureter, unspecified</w:t>
                  </w:r>
                </w:p>
              </w:tc>
            </w:tr>
            <w:tr>
              <w:trPr/>
              <w:tc>
                <w:tcPr>
                  <w:tcW w:w="1350" w:type="pct"/>
                  <w:vAlign w:val="top"/>
                </w:tcPr>
                <w:p>
                  <w:r>
                    <w:t xml:space="preserve">N39.0</w:t>
                  </w:r>
                </w:p>
              </w:tc>
              <w:tc>
                <w:tcPr>
                  <w:tcW w:w="1100" w:type="pct"/>
                  <w:vMerge/>
                </w:tcPr>
                <w:p/>
              </w:tc>
              <w:tc>
                <w:tcPr>
                  <w:tcW w:w="2500" w:type="pct"/>
                  <w:vAlign w:val="top"/>
                </w:tcPr>
                <w:p>
                  <w:r>
                    <w:t xml:space="preserve">Urinary tract infection, site not specified</w:t>
                  </w:r>
                </w:p>
              </w:tc>
            </w:tr>
            <w:tr>
              <w:trPr/>
              <w:tc>
                <w:tcPr>
                  <w:tcW w:w="1350" w:type="pct"/>
                  <w:vAlign w:val="top"/>
                </w:tcPr>
                <w:p>
                  <w:r>
                    <w:t xml:space="preserve">N39.9</w:t>
                  </w:r>
                </w:p>
              </w:tc>
              <w:tc>
                <w:tcPr>
                  <w:tcW w:w="1100" w:type="pct"/>
                  <w:vMerge/>
                </w:tcPr>
                <w:p/>
              </w:tc>
              <w:tc>
                <w:tcPr>
                  <w:tcW w:w="2500" w:type="pct"/>
                  <w:vAlign w:val="top"/>
                </w:tcPr>
                <w:p>
                  <w:r>
                    <w:t xml:space="preserve">Disorder or urinary system, unspecified</w:t>
                  </w:r>
                </w:p>
              </w:tc>
            </w:tr>
          </w:tbl>
          <w:p>
            <w:r>
              <w:t xml:space="preserve"> </w:t>
            </w:r>
            <w:r>
              <w:rPr>
                <w:b/>
              </w:rPr>
              <w:t xml:space="preserve">Exclusion codes and description</w:t>
            </w:r>
          </w:p>
          <w:tbl>
            <w:tblPr>
              <w:tblStyle w:val="TableGrid"/>
              <w:tblW w:w="5000" w:type="pct"/>
              <w:tblLayout w:type="autofit"/>
            </w:tblPr>
            <w:tblGrid>
              <w:gridCol/>
              <w:gridCol/>
            </w:tblGrid>
            <w:tr>
              <w:trPr/>
              <w:tc>
                <w:tcPr>
                  <w:tcW w:w="1000" w:type="pct"/>
                  <w:vAlign w:val="top"/>
                </w:tcPr>
                <w:p>
                  <w:r>
                    <w:rPr>
                      <w:b/>
                    </w:rPr>
                    <w:t xml:space="preserve">Care type</w:t>
                  </w:r>
                </w:p>
              </w:tc>
              <w:tc>
                <w:tcPr>
                  <w:tcW w:w="4000" w:type="pct"/>
                  <w:vAlign w:val="top"/>
                </w:tcPr>
                <w:p>
                  <w:r>
                    <w:rPr>
                      <w:b/>
                    </w:rPr>
                    <w:t xml:space="preserve">Description</w:t>
                  </w:r>
                </w:p>
              </w:tc>
            </w:tr>
            <w:tr>
              <w:trPr/>
              <w:tc>
                <w:tcPr>
                  <w:tcW w:w="1000" w:type="pct"/>
                  <w:vAlign w:val="top"/>
                </w:tcPr>
                <w:p>
                  <w:r>
                    <w:t xml:space="preserve">7.3</w:t>
                  </w:r>
                </w:p>
              </w:tc>
              <w:tc>
                <w:tcPr>
                  <w:tcW w:w="4000" w:type="pct"/>
                  <w:vAlign w:val="top"/>
                </w:tcPr>
                <w:p>
                  <w:r>
                    <w:t xml:space="preserve">Newborn—unqualified days only</w:t>
                  </w:r>
                </w:p>
              </w:tc>
            </w:tr>
            <w:tr>
              <w:trPr/>
              <w:tc>
                <w:tcPr>
                  <w:tcW w:w="1000" w:type="pct"/>
                  <w:vAlign w:val="top"/>
                </w:tcPr>
                <w:p>
                  <w:r>
                    <w:t xml:space="preserve">9.0</w:t>
                  </w:r>
                </w:p>
              </w:tc>
              <w:tc>
                <w:tcPr>
                  <w:tcW w:w="4000" w:type="pct"/>
                  <w:vAlign w:val="top"/>
                </w:tcPr>
                <w:p>
                  <w:r>
                    <w:t xml:space="preserve">Organ procurement—posthumous</w:t>
                  </w:r>
                </w:p>
              </w:tc>
            </w:tr>
            <w:tr>
              <w:trPr/>
              <w:tc>
                <w:tcPr>
                  <w:tcW w:w="1000" w:type="pct"/>
                  <w:vAlign w:val="top"/>
                </w:tcPr>
                <w:p>
                  <w:r>
                    <w:t xml:space="preserve">10.</w:t>
                  </w:r>
                  <w:r>
                    <w:t xml:space="preserve">0</w:t>
                  </w:r>
                </w:p>
              </w:tc>
              <w:tc>
                <w:tcPr>
                  <w:tcW w:w="4000" w:type="pct"/>
                  <w:vAlign w:val="top"/>
                </w:tcPr>
                <w:p>
                  <w:r>
                    <w:t xml:space="preserve">Hospital boarder</w:t>
                  </w:r>
                </w:p>
              </w:tc>
            </w:tr>
          </w:tbl>
          <w:p>
            <w:r>
              <w:t xml:space="preserve"> </w:t>
            </w:r>
          </w:p>
          <w:p>
            <w:r>
              <w:t xml:space="preserve">Presented as a number per 100,000 people.</w:t>
            </w:r>
          </w:p>
          <w:p>
            <w:r>
              <w:t xml:space="preserve">Rates for all Australians are directly age- and sex- standardised, to the 2001 Australian population, using 5-year age groups: 0-4, 5-9, … , 80-84, 85 and over. </w:t>
            </w:r>
          </w:p>
          <w:p>
            <w:r>
              <w:t xml:space="preserve">Indigenous and other Australian rates are directly age and sex standardised, to the 2001 Australian population, using 5-year age groups: 0-4, 5-9, … , 60–64, 65 and over.</w:t>
            </w:r>
          </w:p>
          <w:p>
            <w:r>
              <w:t xml:space="preserve">For more information about age-standardisation in general see </w:t>
            </w:r>
            <w:hyperlink w:history="true" r:id="Reb02035742bb45d8">
              <w:r>
                <w:rPr>
                  <w:rStyle w:val="Hyperlink"/>
                </w:rPr>
                <w:t xml:space="preserve">/content/index.phtml/itemId/327276</w:t>
              </w:r>
            </w:hyperlink>
          </w:p>
          <w:p>
            <w:r>
              <w:t xml:space="preserve"> </w:t>
            </w:r>
          </w:p>
          <w:p>
            <w:r>
              <w:t xml:space="preserve">Analysis by Statistical Area Level 3 (SA3) is based on Statistical Area Level 2 (SA2) of usual residence of the patient. </w:t>
            </w:r>
          </w:p>
          <w:p>
            <w:r>
              <w:t xml:space="preserve">Suppress data (number or rate) if at least one of the following conditions are met: </w:t>
            </w:r>
          </w:p>
          <w:p>
            <w:r>
              <w:t xml:space="preserve">the total denominator is less than 1,000</w:t>
            </w:r>
          </w:p>
          <w:p>
            <w:r>
              <w:t xml:space="preserve">the total numerator is less than 20</w:t>
            </w:r>
          </w:p>
          <w:p>
            <w:r>
              <w:t xml:space="preserve">Age and sex standardised rates are suppressed where the denominator for at least one of the age and sex groups used to calculate the rate is below 30.</w:t>
            </w:r>
          </w:p>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kidney and urinary tract infection hospitalisations, 2014-15.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6c088961c6b494d">
              <w:r>
                <w:rPr>
                  <w:rStyle w:val="Hyperlink"/>
                </w:rPr>
                <w:t xml:space="preserve">Person—date of birth, DDMMYYYY</w:t>
              </w:r>
            </w:hyperlink>
          </w:p>
          <w:p>
            <w:r>
              <w:rPr>
                <w:rStyle w:val="row-content"/>
                <w:b/>
              </w:rPr>
              <w:t xml:space="preserve">NMDS / DSS</w:t>
            </w:r>
          </w:p>
          <w:p>
            <w:hyperlink w:history="true" r:id="Rf9a4c5b6466e41d9">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e2d5599d74145bc">
              <w:r>
                <w:rPr>
                  <w:rStyle w:val="Hyperlink"/>
                </w:rPr>
                <w:t xml:space="preserve">Hospital service—care type, code N[N]</w:t>
              </w:r>
            </w:hyperlink>
          </w:p>
          <w:p>
            <w:r>
              <w:rPr>
                <w:rStyle w:val="row-content"/>
                <w:b/>
              </w:rPr>
              <w:t xml:space="preserve">NMDS / DSS</w:t>
            </w:r>
          </w:p>
          <w:p>
            <w:hyperlink w:history="true" r:id="Rc43e90a75e634521">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463664cfda34488">
              <w:r>
                <w:rPr>
                  <w:rStyle w:val="Hyperlink"/>
                </w:rPr>
                <w:t xml:space="preserve">Episode of care—principal diagnosis, code (ICD-10-AM 8th edn) ANN{.N[N]}</w:t>
              </w:r>
            </w:hyperlink>
          </w:p>
          <w:p>
            <w:r>
              <w:rPr>
                <w:rStyle w:val="row-content"/>
                <w:b/>
              </w:rPr>
              <w:t xml:space="preserve">Data Source</w:t>
            </w:r>
          </w:p>
          <w:p>
            <w:hyperlink w:history="true" r:id="R0d1debcee2424849">
              <w:r>
                <w:rPr>
                  <w:rStyle w:val="Hyperlink"/>
                </w:rPr>
                <w:t xml:space="preserve">National Hospital Morbidity Database (NHMD)</w:t>
              </w:r>
            </w:hyperlink>
          </w:p>
          <w:p>
            <w:r>
              <w:rPr>
                <w:rStyle w:val="row-content"/>
                <w:b/>
              </w:rPr>
              <w:t xml:space="preserve">NMDS / DSS</w:t>
            </w:r>
          </w:p>
          <w:p>
            <w:hyperlink w:history="true" r:id="R381cd434bd664c74">
              <w:r>
                <w:rPr>
                  <w:rStyle w:val="Hyperlink"/>
                </w:rPr>
                <w:t xml:space="preserve">Admitted patient care NMDS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 Total population as at 30 June,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4c87883472ad4c41">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 based plus administrative by-product data</w:t>
            </w:r>
          </w:p>
          <w:p>
            <w:r>
              <w:rPr>
                <w:rStyle w:val="row-content"/>
              </w:rPr>
              <w:t xml:space="preserve"> </w:t>
            </w:r>
          </w:p>
          <w:p>
            <w:r>
              <w:rPr>
                <w:rStyle w:val="row-content"/>
                <w:b/>
                <w:color w:val="000000"/>
              </w:rPr>
              <w:t xml:space="preserve">Data Element / Data Set</w:t>
            </w:r>
          </w:p>
          <w:p>
            <w:hyperlink w:history="true" r:id="R73034d42f7114514">
              <w:r>
                <w:rPr>
                  <w:rStyle w:val="Hyperlink"/>
                </w:rPr>
                <w:t xml:space="preserve">Person—estimated resident population of Australia, total people N[N(7)]</w:t>
              </w:r>
            </w:hyperlink>
          </w:p>
          <w:p>
            <w:r>
              <w:rPr>
                <w:rStyle w:val="row-content"/>
                <w:b/>
              </w:rPr>
              <w:t xml:space="preserve">Data Source</w:t>
            </w:r>
          </w:p>
          <w:p>
            <w:hyperlink w:history="true" r:id="R3beb086440ac4246">
              <w:r>
                <w:rPr>
                  <w:rStyle w:val="Hyperlink"/>
                </w:rPr>
                <w:t xml:space="preserve">ABS Estimated resident population (total population)</w:t>
              </w:r>
            </w:hyperlink>
          </w:p>
          <w:p>
            <w:r>
              <w:rPr>
                <w:rStyle w:val="row-content"/>
                <w:b/>
              </w:rPr>
              <w:t xml:space="preserve">Guide for use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SA3 by:</w:t>
            </w:r>
          </w:p>
          <w:p>
            <w:pPr>
              <w:spacing w:after="160"/>
            </w:pPr>
            <w:r>
              <w:rPr>
                <w:rStyle w:val="row-content-rich-text"/>
              </w:rPr>
              <w:t xml:space="preserve">remoteness (ASGC Remoteness structure) and Socio-Economic Indexes for Areas (SEIFA) Index of Relative Socioeconomic Disadvantage (IRSD)</w:t>
            </w:r>
            <w:r>
              <w:rPr>
                <w:rStyle w:val="row-content-rich-text"/>
              </w:rPr>
              <w:t xml:space="preserve">                                                 </w:t>
            </w:r>
          </w:p>
          <w:p>
            <w:pPr/>
            <w:r>
              <w:rPr>
                <w:rStyle w:val="row-content-rich-text"/>
              </w:rPr>
              <w:t xml:space="preserve">State and territory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ac908490b0a4a21">
              <w:r>
                <w:rPr>
                  <w:rStyle w:val="Hyperlink"/>
                </w:rPr>
                <w:t xml:space="preserve">Person—area of usual residence, statistical area level 2 (SA2) code (ASGS 2011) N(9)</w:t>
              </w:r>
            </w:hyperlink>
          </w:p>
          <w:p>
            <w:r>
              <w:rPr>
                <w:rStyle w:val="row-content"/>
                <w:b/>
              </w:rPr>
              <w:t xml:space="preserve">Data Source</w:t>
            </w:r>
          </w:p>
          <w:p>
            <w:hyperlink w:history="true" r:id="Rcc7520c4b85e4d06">
              <w:r>
                <w:rPr>
                  <w:rStyle w:val="Hyperlink"/>
                </w:rPr>
                <w:t xml:space="preserve">National Hospital Morbidity Database (NHMD)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1a48a5477b7428b">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a8d46ddbe55c4644">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1fcd6139943d4580">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afc0034ef79a4e6c">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dde010eeaf454014">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w:t>
            </w:r>
          </w:p>
          <w:p>
            <w:pPr>
              <w:spacing w:after="160"/>
            </w:pPr>
            <w:r>
              <w:rPr>
                <w:rStyle w:val="row-content-rich-text"/>
              </w:rPr>
              <w:t xml:space="preserve">The scope of the NHMD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are not in scope, but some are included.</w:t>
            </w:r>
            <w:r>
              <w:rPr>
                <w:rStyle w:val="row-content-rich-text"/>
              </w:rPr>
              <w:t xml:space="preserve">  </w:t>
            </w:r>
          </w:p>
          <w:p>
            <w:pPr/>
            <w:r>
              <w:rPr>
                <w:rStyle w:val="row-content-rich-text"/>
              </w:rPr>
              <w:t xml:space="preserve">Private hospitals include private free-standing day hospital facilities and other private hospitals (which also include private psychiatric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r>
              <w:rPr>
                <w:rStyle w:val="row-content-rich-text"/>
                <w:i/>
              </w:rPr>
              <w:t xml:space="preserve">Australian Atlas of Healthcare Variation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07/06/2017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more information about potentially preventable hospitalisations see: </w:t>
            </w:r>
          </w:p>
          <w:p>
            <w:pPr>
              <w:spacing w:after="160"/>
            </w:pPr>
            <w:r>
              <w:rPr>
                <w:rStyle w:val="row-content-rich-text"/>
              </w:rPr>
              <w:t xml:space="preserve">National Healthcare Agreement: PI 18–Selected potentially preventable hospitalisations, 2017</w:t>
            </w:r>
          </w:p>
          <w:p>
            <w:hyperlink w:history="true" r:id="Rf01b2b73c7aa4d67">
              <w:r>
                <w:rPr>
                  <w:rStyle w:val="Hyperlink"/>
                </w:rPr>
                <w:t xml:space="preserve">/content/index.phtml/itemId/630028</w:t>
              </w:r>
            </w:hyperlink>
          </w:p>
          <w:p>
            <w:hyperlink w:history="true" r:id="R346414014f2041fa">
              <w:r>
                <w:rPr>
                  <w:rStyle w:val="Hyperlink"/>
                </w:rPr>
                <w:t xml:space="preserve">Australian Commission on Safety and Quality in Health Care and Australian Institute of Health and Welfare. Exploring Healthcare Variation in Australia: Analyses Resulting from an OECD Study. Sydney: ACSQHC, 2014.</w:t>
              </w:r>
            </w:hyperlink>
          </w:p>
          <w:p>
            <w:pPr>
              <w:spacing w:after="160"/>
            </w:pPr>
            <w:r>
              <w:rPr>
                <w:rStyle w:val="row-content-rich-text"/>
              </w:rPr>
              <w:t xml:space="preserve">National </w:t>
            </w:r>
            <w:r>
              <w:rPr>
                <w:rStyle w:val="row-content-rich-text"/>
              </w:rPr>
              <w:t xml:space="preserve">Health Performance Authority 2015, Healthy Communities: Potentially preventable hospitalisations in 2013–14, Technical Supplement.</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d0c1a91c0ee4d5a">
              <w:r>
                <w:rPr>
                  <w:rStyle w:val="Hyperlink"/>
                </w:rPr>
                <w:t xml:space="preserve">Number of potentially preventable hospitalisations - kidney and urinary tract infections per 100,000 people of all ages, 2014-15 to 2017-18</w:t>
              </w:r>
            </w:hyperlink>
          </w:p>
          <w:p>
            <w:pPr>
              <w:pStyle w:val="registration-status"/>
              <w:spacing w:before="0" w:after="0"/>
            </w:pPr>
            <w:hyperlink w:history="true" r:id="R09449cb8f4fd487c">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r>
        <w:br/>
      </w:r>
    </w:p>
    <w:sectPr>
      <w:footerReference xmlns:r="http://schemas.openxmlformats.org/officeDocument/2006/relationships" w:type="default" r:id="R637cecc501a545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638929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3c0baa5be041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7cecc501a54525" /><Relationship Type="http://schemas.openxmlformats.org/officeDocument/2006/relationships/header" Target="/word/header1.xml" Id="R7f8d06082594443f" /><Relationship Type="http://schemas.openxmlformats.org/officeDocument/2006/relationships/settings" Target="/word/settings.xml" Id="R1dc49ee613934dd4" /><Relationship Type="http://schemas.openxmlformats.org/officeDocument/2006/relationships/styles" Target="/word/styles.xml" Id="Rcb671ff45dc34a0c" /><Relationship Type="http://schemas.openxmlformats.org/officeDocument/2006/relationships/numbering" Target="/word/numbering.xml" Id="Red8af2dce47e4f5c" /><Relationship Type="http://schemas.openxmlformats.org/officeDocument/2006/relationships/hyperlink" Target="https://meteor-uat.aihw.gov.au/RegistrationAuthority/2" TargetMode="External" Id="R3c61d67905294863" /><Relationship Type="http://schemas.openxmlformats.org/officeDocument/2006/relationships/hyperlink" Target="https://meteor-uat.aihw.gov.au/content/674758" TargetMode="External" Id="R751478e705454a58" /><Relationship Type="http://schemas.openxmlformats.org/officeDocument/2006/relationships/hyperlink" Target="https://meteor-uat.aihw.gov.au/RegistrationAuthority/2" TargetMode="External" Id="R84b800e1415c41f8" /><Relationship Type="http://schemas.openxmlformats.org/officeDocument/2006/relationships/hyperlink" Target="https://meteor-uat.aihw.gov.au/content/327276" TargetMode="External" Id="Reb02035742bb45d8" /><Relationship Type="http://schemas.openxmlformats.org/officeDocument/2006/relationships/hyperlink" Target="https://meteor-uat.aihw.gov.au/content/287007" TargetMode="External" Id="R76c088961c6b494d" /><Relationship Type="http://schemas.openxmlformats.org/officeDocument/2006/relationships/hyperlink" Target="https://meteor-uat.aihw.gov.au/content/535047" TargetMode="External" Id="Rf9a4c5b6466e41d9" /><Relationship Type="http://schemas.openxmlformats.org/officeDocument/2006/relationships/hyperlink" Target="https://meteor-uat.aihw.gov.au/content/491557" TargetMode="External" Id="Rbe2d5599d74145bc" /><Relationship Type="http://schemas.openxmlformats.org/officeDocument/2006/relationships/hyperlink" Target="https://meteor-uat.aihw.gov.au/content/535047" TargetMode="External" Id="Rc43e90a75e634521" /><Relationship Type="http://schemas.openxmlformats.org/officeDocument/2006/relationships/hyperlink" Target="https://meteor-uat.aihw.gov.au/content/514273" TargetMode="External" Id="R6463664cfda34488" /><Relationship Type="http://schemas.openxmlformats.org/officeDocument/2006/relationships/hyperlink" Target="https://meteor-uat.aihw.gov.au/content/394352" TargetMode="External" Id="R0d1debcee2424849" /><Relationship Type="http://schemas.openxmlformats.org/officeDocument/2006/relationships/hyperlink" Target="https://meteor-uat.aihw.gov.au/content/535047" TargetMode="External" Id="R381cd434bd664c74" /><Relationship Type="http://schemas.openxmlformats.org/officeDocument/2006/relationships/hyperlink" Target="https://meteor-uat.aihw.gov.au/content/394092" TargetMode="External" Id="R4c87883472ad4c41" /><Relationship Type="http://schemas.openxmlformats.org/officeDocument/2006/relationships/hyperlink" Target="https://meteor-uat.aihw.gov.au/content/388656" TargetMode="External" Id="R73034d42f7114514" /><Relationship Type="http://schemas.openxmlformats.org/officeDocument/2006/relationships/hyperlink" Target="https://meteor-uat.aihw.gov.au/content/393625" TargetMode="External" Id="R3beb086440ac4246" /><Relationship Type="http://schemas.openxmlformats.org/officeDocument/2006/relationships/hyperlink" Target="https://meteor-uat.aihw.gov.au/content/469909" TargetMode="External" Id="R8ac908490b0a4a21" /><Relationship Type="http://schemas.openxmlformats.org/officeDocument/2006/relationships/hyperlink" Target="https://meteor-uat.aihw.gov.au/content/394352" TargetMode="External" Id="Rcc7520c4b85e4d06" /><Relationship Type="http://schemas.openxmlformats.org/officeDocument/2006/relationships/hyperlink" Target="https://meteor-uat.aihw.gov.au/content/394092" TargetMode="External" Id="R01a48a5477b7428b" /><Relationship Type="http://schemas.openxmlformats.org/officeDocument/2006/relationships/hyperlink" Target="https://meteor-uat.aihw.gov.au/content/449223" TargetMode="External" Id="Ra8d46ddbe55c4644" /><Relationship Type="http://schemas.openxmlformats.org/officeDocument/2006/relationships/hyperlink" Target="https://meteor-uat.aihw.gov.au/content/394352" TargetMode="External" Id="R1fcd6139943d4580" /><Relationship Type="http://schemas.openxmlformats.org/officeDocument/2006/relationships/hyperlink" Target="https://meteor-uat.aihw.gov.au/content/393625" TargetMode="External" Id="Rafc0034ef79a4e6c" /><Relationship Type="http://schemas.openxmlformats.org/officeDocument/2006/relationships/hyperlink" Target="https://meteor-uat.aihw.gov.au/content/449216" TargetMode="External" Id="Rdde010eeaf454014" /><Relationship Type="http://schemas.openxmlformats.org/officeDocument/2006/relationships/hyperlink" Target="https://meteor-uat.aihw.gov.au/content/630028" TargetMode="External" Id="Rf01b2b73c7aa4d67" /><Relationship Type="http://schemas.openxmlformats.org/officeDocument/2006/relationships/hyperlink" Target="http://www.safetyandquality.gov.au/wp-content/uploads/2014/05/Exploring-Healthcare-Variation-in-Australia-Analyses-Resulting-from-an-OECD-Study.pdf" TargetMode="External" Id="R346414014f2041fa" /><Relationship Type="http://schemas.openxmlformats.org/officeDocument/2006/relationships/hyperlink" Target="https://meteor-uat.aihw.gov.au/content/724486" TargetMode="External" Id="R4d0c1a91c0ee4d5a" /><Relationship Type="http://schemas.openxmlformats.org/officeDocument/2006/relationships/hyperlink" Target="https://meteor-uat.aihw.gov.au/RegistrationAuthority/2" TargetMode="External" Id="R09449cb8f4fd487c" /></Relationships>
</file>

<file path=word/_rels/header1.xml.rels>&#65279;<?xml version="1.0" encoding="utf-8"?><Relationships xmlns="http://schemas.openxmlformats.org/package/2006/relationships"><Relationship Type="http://schemas.openxmlformats.org/officeDocument/2006/relationships/image" Target="/media/image.png" Id="Rca3c0baa5be0414d" /></Relationships>
</file>