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f1f52298864f61"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potentially preventable hospitalisations - cellulitis, per 100,000 people,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potentially preventable hospitalisations - cellulitis,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Cellulitis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902125e5044cd">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cellulitis,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b1b551570440fa">
              <w:r>
                <w:rPr>
                  <w:rStyle w:val="Hyperlink"/>
                </w:rPr>
                <w:t xml:space="preserve">Australian Atlas of Healthcare Variation 2017</w:t>
              </w:r>
            </w:hyperlink>
          </w:p>
          <w:p>
            <w:pPr>
              <w:pStyle w:val="registration-status"/>
              <w:spacing w:before="0" w:after="0"/>
            </w:pPr>
            <w:hyperlink w:history="true" r:id="R7832e6e55dd84c90">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100" w:type="pct"/>
                  <w:vAlign w:val="top"/>
                </w:tcPr>
                <w:p>
                  <w:pPr/>
                  <w:r>
                    <w:rPr>
                      <w:rStyle w:val="row-content-rich-text"/>
                      <w:b/>
                    </w:rPr>
                    <w:t xml:space="preserve">ICD-10-AM 8th edition code</w:t>
                  </w:r>
                </w:p>
              </w:tc>
              <w:tc>
                <w:tcPr>
                  <w:tcW w:w="1350" w:type="pct"/>
                  <w:vAlign w:val="top"/>
                </w:tcPr>
                <w:p>
                  <w:r>
                    <w:rPr>
                      <w:b/>
                    </w:rPr>
                    <w:t xml:space="preserve">ICD-10-AM Description</w:t>
                  </w:r>
                </w:p>
              </w:tc>
              <w:tc>
                <w:tcPr>
                  <w:tcW w:w="2500" w:type="pct"/>
                  <w:vAlign w:val="top"/>
                </w:tcPr>
                <w:p>
                  <w:r>
                    <w:rPr>
                      <w:b/>
                    </w:rPr>
                    <w:t xml:space="preserve">Additional requirements</w:t>
                  </w:r>
                </w:p>
              </w:tc>
            </w:tr>
            <w:tr>
              <w:trPr/>
              <w:tc>
                <w:tcPr>
                  <w:tcW w:w="1100" w:type="pct"/>
                  <w:vAlign w:val="top"/>
                </w:tcPr>
                <w:p>
                  <w:r>
                    <w:t xml:space="preserve">L02.0</w:t>
                  </w:r>
                </w:p>
              </w:tc>
              <w:tc>
                <w:tcPr>
                  <w:tcW w:w="1350" w:type="pct"/>
                  <w:vAlign w:val="top"/>
                </w:tcPr>
                <w:p>
                  <w:r>
                    <w:t xml:space="preserve">Cutaneous abscess, furuncle and carbuncle of face</w:t>
                  </w:r>
                </w:p>
              </w:tc>
              <w:tc>
                <w:tcPr>
                  <w:tcW w:w="2500" w:type="pct"/>
                  <w:vMerge w:val="restar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L02.1</w:t>
                  </w:r>
                </w:p>
              </w:tc>
              <w:tc>
                <w:tcPr>
                  <w:tcW w:w="1350" w:type="pct"/>
                  <w:vMerge/>
                </w:tcPr>
                <w:p/>
              </w:tc>
              <w:tc>
                <w:tcPr>
                  <w:tcW w:w="2500" w:type="pct"/>
                  <w:vAlign w:val="top"/>
                </w:tcPr>
                <w:p>
                  <w:r>
                    <w:t xml:space="preserve">Cutaneous abscess, furuncle and carbuncle of neck</w:t>
                  </w:r>
                </w:p>
              </w:tc>
            </w:tr>
            <w:tr>
              <w:trPr/>
              <w:tc>
                <w:tcPr>
                  <w:tcW w:w="1100" w:type="pct"/>
                  <w:vAlign w:val="top"/>
                </w:tcPr>
                <w:p>
                  <w:r>
                    <w:t xml:space="preserve">L02.2</w:t>
                  </w:r>
                </w:p>
              </w:tc>
              <w:tc>
                <w:tcPr>
                  <w:tcW w:w="1350" w:type="pct"/>
                  <w:vMerge/>
                </w:tcPr>
                <w:p/>
              </w:tc>
              <w:tc>
                <w:tcPr>
                  <w:tcW w:w="2500" w:type="pct"/>
                  <w:vAlign w:val="top"/>
                </w:tcPr>
                <w:p>
                  <w:r>
                    <w:t xml:space="preserve">Cutaneous abscess, furuncle and carbuncle of trunk</w:t>
                  </w:r>
                </w:p>
              </w:tc>
            </w:tr>
            <w:tr>
              <w:trPr/>
              <w:tc>
                <w:tcPr>
                  <w:tcW w:w="1100" w:type="pct"/>
                  <w:vAlign w:val="top"/>
                </w:tcPr>
                <w:p>
                  <w:r>
                    <w:t xml:space="preserve">L02.3</w:t>
                  </w:r>
                </w:p>
              </w:tc>
              <w:tc>
                <w:tcPr>
                  <w:tcW w:w="1350" w:type="pct"/>
                  <w:vMerge/>
                </w:tcPr>
                <w:p/>
              </w:tc>
              <w:tc>
                <w:tcPr>
                  <w:tcW w:w="2500" w:type="pct"/>
                  <w:vAlign w:val="top"/>
                </w:tcPr>
                <w:p>
                  <w:r>
                    <w:t xml:space="preserve">Cutaneous abscess, furuncle and carbuncle of buttock</w:t>
                  </w:r>
                </w:p>
              </w:tc>
            </w:tr>
            <w:tr>
              <w:trPr/>
              <w:tc>
                <w:tcPr>
                  <w:tcW w:w="1100" w:type="pct"/>
                  <w:vAlign w:val="top"/>
                </w:tcPr>
                <w:p>
                  <w:r>
                    <w:t xml:space="preserve">L02.4</w:t>
                  </w:r>
                </w:p>
              </w:tc>
              <w:tc>
                <w:tcPr>
                  <w:tcW w:w="1350" w:type="pct"/>
                  <w:vMerge/>
                </w:tcPr>
                <w:p/>
              </w:tc>
              <w:tc>
                <w:tcPr>
                  <w:tcW w:w="2500" w:type="pct"/>
                  <w:vAlign w:val="top"/>
                </w:tcPr>
                <w:p>
                  <w:r>
                    <w:t xml:space="preserve">Cutaneous abscess, furuncle and carbuncle of limb</w:t>
                  </w:r>
                </w:p>
              </w:tc>
            </w:tr>
            <w:tr>
              <w:trPr/>
              <w:tc>
                <w:tcPr>
                  <w:tcW w:w="1100" w:type="pct"/>
                  <w:vAlign w:val="top"/>
                </w:tcPr>
                <w:p>
                  <w:r>
                    <w:t xml:space="preserve">L02.8</w:t>
                  </w:r>
                </w:p>
              </w:tc>
              <w:tc>
                <w:tcPr>
                  <w:tcW w:w="1350" w:type="pct"/>
                  <w:vMerge/>
                </w:tcPr>
                <w:p/>
              </w:tc>
              <w:tc>
                <w:tcPr>
                  <w:tcW w:w="2500" w:type="pct"/>
                  <w:vAlign w:val="top"/>
                </w:tcPr>
                <w:p>
                  <w:r>
                    <w:t xml:space="preserve">Cutaneous abscess, furuncle and carbuncle of other sites</w:t>
                  </w:r>
                </w:p>
              </w:tc>
            </w:tr>
            <w:tr>
              <w:trPr/>
              <w:tc>
                <w:tcPr>
                  <w:tcW w:w="1100" w:type="pct"/>
                  <w:vAlign w:val="top"/>
                </w:tcPr>
                <w:p>
                  <w:r>
                    <w:t xml:space="preserve">L02.9</w:t>
                  </w:r>
                </w:p>
              </w:tc>
              <w:tc>
                <w:tcPr>
                  <w:tcW w:w="1350" w:type="pct"/>
                  <w:vMerge/>
                </w:tcPr>
                <w:p/>
              </w:tc>
              <w:tc>
                <w:tcPr>
                  <w:tcW w:w="2500" w:type="pct"/>
                  <w:vAlign w:val="top"/>
                </w:tcPr>
                <w:p>
                  <w:r>
                    <w:t xml:space="preserve">Cutaneous abscess, furuncle and carbuncle, unspecified</w:t>
                  </w:r>
                </w:p>
              </w:tc>
            </w:tr>
            <w:tr>
              <w:trPr/>
              <w:tc>
                <w:tcPr>
                  <w:tcW w:w="1100" w:type="pct"/>
                  <w:vAlign w:val="top"/>
                </w:tcPr>
                <w:p>
                  <w:r>
                    <w:t xml:space="preserve">L03.01</w:t>
                  </w:r>
                </w:p>
              </w:tc>
              <w:tc>
                <w:tcPr>
                  <w:tcW w:w="1350" w:type="pct"/>
                  <w:vMerge/>
                </w:tcPr>
                <w:p/>
              </w:tc>
              <w:tc>
                <w:tcPr>
                  <w:tcW w:w="2500" w:type="pct"/>
                  <w:vAlign w:val="top"/>
                </w:tcPr>
                <w:p>
                  <w:r>
                    <w:t xml:space="preserve">Cellulitis of finger</w:t>
                  </w:r>
                </w:p>
              </w:tc>
            </w:tr>
            <w:tr>
              <w:trPr/>
              <w:tc>
                <w:tcPr>
                  <w:tcW w:w="1100" w:type="pct"/>
                  <w:vAlign w:val="top"/>
                </w:tcPr>
                <w:p>
                  <w:r>
                    <w:t xml:space="preserve">L03.02</w:t>
                  </w:r>
                </w:p>
              </w:tc>
              <w:tc>
                <w:tcPr>
                  <w:tcW w:w="1350" w:type="pct"/>
                  <w:vMerge/>
                </w:tcPr>
                <w:p/>
              </w:tc>
              <w:tc>
                <w:tcPr>
                  <w:tcW w:w="2500" w:type="pct"/>
                  <w:vAlign w:val="top"/>
                </w:tcPr>
                <w:p>
                  <w:r>
                    <w:t xml:space="preserve">Cellulitis of toe</w:t>
                  </w:r>
                </w:p>
              </w:tc>
            </w:tr>
            <w:tr>
              <w:trPr/>
              <w:tc>
                <w:tcPr>
                  <w:tcW w:w="1100" w:type="pct"/>
                  <w:vAlign w:val="top"/>
                </w:tcPr>
                <w:p>
                  <w:r>
                    <w:t xml:space="preserve">L03.10</w:t>
                  </w:r>
                </w:p>
              </w:tc>
              <w:tc>
                <w:tcPr>
                  <w:tcW w:w="1350" w:type="pct"/>
                  <w:vMerge/>
                </w:tcPr>
                <w:p/>
              </w:tc>
              <w:tc>
                <w:tcPr>
                  <w:tcW w:w="2500" w:type="pct"/>
                  <w:vAlign w:val="top"/>
                </w:tcPr>
                <w:p>
                  <w:r>
                    <w:t xml:space="preserve">Cellulitis of upper limb</w:t>
                  </w:r>
                </w:p>
              </w:tc>
            </w:tr>
            <w:tr>
              <w:trPr/>
              <w:tc>
                <w:tcPr>
                  <w:tcW w:w="1100" w:type="pct"/>
                  <w:vAlign w:val="top"/>
                </w:tcPr>
                <w:p>
                  <w:r>
                    <w:t xml:space="preserve">L03.11</w:t>
                  </w:r>
                </w:p>
              </w:tc>
              <w:tc>
                <w:tcPr>
                  <w:tcW w:w="1350" w:type="pct"/>
                  <w:vMerge/>
                </w:tcPr>
                <w:p/>
              </w:tc>
              <w:tc>
                <w:tcPr>
                  <w:tcW w:w="2500" w:type="pct"/>
                  <w:vAlign w:val="top"/>
                </w:tcPr>
                <w:p>
                  <w:r>
                    <w:t xml:space="preserve">Cellulitis of lower limb</w:t>
                  </w:r>
                </w:p>
              </w:tc>
            </w:tr>
            <w:tr>
              <w:trPr/>
              <w:tc>
                <w:tcPr>
                  <w:tcW w:w="1100" w:type="pct"/>
                  <w:vAlign w:val="top"/>
                </w:tcPr>
                <w:p>
                  <w:r>
                    <w:t xml:space="preserve">L03.2</w:t>
                  </w:r>
                </w:p>
              </w:tc>
              <w:tc>
                <w:tcPr>
                  <w:tcW w:w="1350" w:type="pct"/>
                  <w:vMerge/>
                </w:tcPr>
                <w:p/>
              </w:tc>
              <w:tc>
                <w:tcPr>
                  <w:tcW w:w="2500" w:type="pct"/>
                  <w:vAlign w:val="top"/>
                </w:tcPr>
                <w:p>
                  <w:r>
                    <w:t xml:space="preserve">Cellulitis of face</w:t>
                  </w:r>
                </w:p>
              </w:tc>
            </w:tr>
            <w:tr>
              <w:trPr/>
              <w:tc>
                <w:tcPr>
                  <w:tcW w:w="1100" w:type="pct"/>
                  <w:vAlign w:val="top"/>
                </w:tcPr>
                <w:p>
                  <w:r>
                    <w:t xml:space="preserve">L03.3</w:t>
                  </w:r>
                </w:p>
              </w:tc>
              <w:tc>
                <w:tcPr>
                  <w:tcW w:w="1350" w:type="pct"/>
                  <w:vMerge/>
                </w:tcPr>
                <w:p/>
              </w:tc>
              <w:tc>
                <w:tcPr>
                  <w:tcW w:w="2500" w:type="pct"/>
                  <w:vAlign w:val="top"/>
                </w:tcPr>
                <w:p>
                  <w:r>
                    <w:t xml:space="preserve">Cellulitis of trunk</w:t>
                  </w:r>
                </w:p>
              </w:tc>
            </w:tr>
            <w:tr>
              <w:trPr/>
              <w:tc>
                <w:tcPr>
                  <w:tcW w:w="1100" w:type="pct"/>
                  <w:vAlign w:val="top"/>
                </w:tcPr>
                <w:p>
                  <w:r>
                    <w:t xml:space="preserve">L03.8</w:t>
                  </w:r>
                </w:p>
              </w:tc>
              <w:tc>
                <w:tcPr>
                  <w:tcW w:w="1350" w:type="pct"/>
                  <w:vMerge/>
                </w:tcPr>
                <w:p/>
              </w:tc>
              <w:tc>
                <w:tcPr>
                  <w:tcW w:w="2500" w:type="pct"/>
                  <w:vAlign w:val="top"/>
                </w:tcPr>
                <w:p>
                  <w:r>
                    <w:t xml:space="preserve">Cellulitis of other sites</w:t>
                  </w:r>
                </w:p>
              </w:tc>
            </w:tr>
            <w:tr>
              <w:trPr/>
              <w:tc>
                <w:tcPr>
                  <w:tcW w:w="1100" w:type="pct"/>
                  <w:vAlign w:val="top"/>
                </w:tcPr>
                <w:p>
                  <w:r>
                    <w:t xml:space="preserve">L03.9</w:t>
                  </w:r>
                </w:p>
              </w:tc>
              <w:tc>
                <w:tcPr>
                  <w:tcW w:w="1350" w:type="pct"/>
                  <w:vMerge/>
                </w:tcPr>
                <w:p/>
              </w:tc>
              <w:tc>
                <w:tcPr>
                  <w:tcW w:w="2500" w:type="pct"/>
                  <w:vAlign w:val="top"/>
                </w:tcPr>
                <w:p>
                  <w:r>
                    <w:t xml:space="preserve">Cellulitis, unspecified</w:t>
                  </w:r>
                </w:p>
              </w:tc>
            </w:tr>
            <w:tr>
              <w:trPr/>
              <w:tc>
                <w:tcPr>
                  <w:tcW w:w="1100" w:type="pct"/>
                  <w:vAlign w:val="top"/>
                </w:tcPr>
                <w:p>
                  <w:r>
                    <w:t xml:space="preserve">L04.0</w:t>
                  </w:r>
                </w:p>
              </w:tc>
              <w:tc>
                <w:tcPr>
                  <w:tcW w:w="1350" w:type="pct"/>
                  <w:vAlign w:val="top"/>
                </w:tcPr>
                <w:p>
                  <w:r>
                    <w:t xml:space="preserve">Acute lymphadenitis of face, head and neck</w:t>
                  </w:r>
                </w:p>
              </w:tc>
              <w:tc>
                <w:tcPr>
                  <w:tcW w:w="2500" w:type="pct"/>
                  <w:vMerge w:val="restar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L04.1</w:t>
                  </w:r>
                </w:p>
              </w:tc>
              <w:tc>
                <w:tcPr>
                  <w:tcW w:w="1350" w:type="pct"/>
                  <w:vMerge/>
                </w:tcPr>
                <w:p/>
              </w:tc>
              <w:tc>
                <w:tcPr>
                  <w:tcW w:w="2500" w:type="pct"/>
                  <w:vAlign w:val="top"/>
                </w:tcPr>
                <w:p>
                  <w:r>
                    <w:t xml:space="preserve">Acute lymphadenitis of trunk</w:t>
                  </w:r>
                </w:p>
              </w:tc>
            </w:tr>
            <w:tr>
              <w:trPr/>
              <w:tc>
                <w:tcPr>
                  <w:tcW w:w="1100" w:type="pct"/>
                  <w:vAlign w:val="top"/>
                </w:tcPr>
                <w:p>
                  <w:r>
                    <w:t xml:space="preserve">L04.2</w:t>
                  </w:r>
                </w:p>
              </w:tc>
              <w:tc>
                <w:tcPr>
                  <w:tcW w:w="1350" w:type="pct"/>
                  <w:vMerge/>
                </w:tcPr>
                <w:p/>
              </w:tc>
              <w:tc>
                <w:tcPr>
                  <w:tcW w:w="2500" w:type="pct"/>
                  <w:vAlign w:val="top"/>
                </w:tcPr>
                <w:p>
                  <w:r>
                    <w:t xml:space="preserve">Acute lymphadenitis of upper limb</w:t>
                  </w:r>
                </w:p>
              </w:tc>
            </w:tr>
            <w:tr>
              <w:trPr/>
              <w:tc>
                <w:tcPr>
                  <w:tcW w:w="1100" w:type="pct"/>
                  <w:vAlign w:val="top"/>
                </w:tcPr>
                <w:p>
                  <w:r>
                    <w:t xml:space="preserve">L04.3</w:t>
                  </w:r>
                </w:p>
              </w:tc>
              <w:tc>
                <w:tcPr>
                  <w:tcW w:w="1350" w:type="pct"/>
                  <w:vMerge/>
                </w:tcPr>
                <w:p/>
              </w:tc>
              <w:tc>
                <w:tcPr>
                  <w:tcW w:w="2500" w:type="pct"/>
                  <w:vAlign w:val="top"/>
                </w:tcPr>
                <w:p>
                  <w:r>
                    <w:t xml:space="preserve">Acute lymphadenitis of lower limb</w:t>
                  </w:r>
                </w:p>
              </w:tc>
            </w:tr>
            <w:tr>
              <w:trPr/>
              <w:tc>
                <w:tcPr>
                  <w:tcW w:w="1100" w:type="pct"/>
                  <w:vAlign w:val="top"/>
                </w:tcPr>
                <w:p>
                  <w:r>
                    <w:t xml:space="preserve">L04.8</w:t>
                  </w:r>
                </w:p>
              </w:tc>
              <w:tc>
                <w:tcPr>
                  <w:tcW w:w="1350" w:type="pct"/>
                  <w:vMerge/>
                </w:tcPr>
                <w:p/>
              </w:tc>
              <w:tc>
                <w:tcPr>
                  <w:tcW w:w="2500" w:type="pct"/>
                  <w:vAlign w:val="top"/>
                </w:tcPr>
                <w:p>
                  <w:r>
                    <w:t xml:space="preserve">Acute lymphadenitis of other sites</w:t>
                  </w:r>
                </w:p>
              </w:tc>
            </w:tr>
            <w:tr>
              <w:trPr/>
              <w:tc>
                <w:tcPr>
                  <w:tcW w:w="1100" w:type="pct"/>
                  <w:vAlign w:val="top"/>
                </w:tcPr>
                <w:p>
                  <w:r>
                    <w:t xml:space="preserve">L04.9</w:t>
                  </w:r>
                </w:p>
              </w:tc>
              <w:tc>
                <w:tcPr>
                  <w:tcW w:w="1350" w:type="pct"/>
                  <w:vMerge/>
                </w:tcPr>
                <w:p/>
              </w:tc>
              <w:tc>
                <w:tcPr>
                  <w:tcW w:w="2500" w:type="pct"/>
                  <w:vAlign w:val="top"/>
                </w:tcPr>
                <w:p>
                  <w:r>
                    <w:t xml:space="preserve">Acute lymphadenitis, unspecified</w:t>
                  </w:r>
                </w:p>
              </w:tc>
            </w:tr>
            <w:tr>
              <w:trPr/>
              <w:tc>
                <w:tcPr>
                  <w:tcW w:w="1100" w:type="pct"/>
                  <w:vAlign w:val="top"/>
                </w:tcPr>
                <w:p>
                  <w:r>
                    <w:t xml:space="preserve">L08.0</w:t>
                  </w:r>
                </w:p>
              </w:tc>
              <w:tc>
                <w:tcPr>
                  <w:tcW w:w="1350" w:type="pct"/>
                  <w:vAlign w:val="top"/>
                </w:tcPr>
                <w:p>
                  <w:r>
                    <w:t xml:space="preserve">Pyoderma</w:t>
                  </w:r>
                </w:p>
              </w:tc>
              <w:tc>
                <w:tcPr>
                  <w:tcW w:w="2500" w:type="pct"/>
                  <w:vMerge w:val="restar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L08.1</w:t>
                  </w:r>
                </w:p>
              </w:tc>
              <w:tc>
                <w:tcPr>
                  <w:tcW w:w="1350" w:type="pct"/>
                  <w:vMerge/>
                </w:tcPr>
                <w:p/>
              </w:tc>
              <w:tc>
                <w:tcPr>
                  <w:tcW w:w="2500" w:type="pct"/>
                  <w:vAlign w:val="top"/>
                </w:tcPr>
                <w:p>
                  <w:r>
                    <w:t xml:space="preserve">Erythrasma</w:t>
                  </w:r>
                </w:p>
              </w:tc>
            </w:tr>
            <w:tr>
              <w:trPr/>
              <w:tc>
                <w:tcPr>
                  <w:tcW w:w="1100" w:type="pct"/>
                  <w:vAlign w:val="top"/>
                </w:tcPr>
                <w:p>
                  <w:r>
                    <w:t xml:space="preserve">L08.8</w:t>
                  </w:r>
                </w:p>
              </w:tc>
              <w:tc>
                <w:tcPr>
                  <w:tcW w:w="1350" w:type="pct"/>
                  <w:vMerge/>
                </w:tcPr>
                <w:p/>
              </w:tc>
              <w:tc>
                <w:tcPr>
                  <w:tcW w:w="2500" w:type="pct"/>
                  <w:vAlign w:val="top"/>
                </w:tcPr>
                <w:p>
                  <w:r>
                    <w:t xml:space="preserve">Other specified local infections of skin and subcutaneous tissue</w:t>
                  </w:r>
                </w:p>
              </w:tc>
            </w:tr>
            <w:tr>
              <w:trPr/>
              <w:tc>
                <w:tcPr>
                  <w:tcW w:w="1100" w:type="pct"/>
                  <w:vAlign w:val="top"/>
                </w:tcPr>
                <w:p>
                  <w:r>
                    <w:t xml:space="preserve">L08.9</w:t>
                  </w:r>
                </w:p>
              </w:tc>
              <w:tc>
                <w:tcPr>
                  <w:tcW w:w="1350" w:type="pct"/>
                  <w:vMerge/>
                </w:tcPr>
                <w:p/>
              </w:tc>
              <w:tc>
                <w:tcPr>
                  <w:tcW w:w="2500" w:type="pct"/>
                  <w:vAlign w:val="top"/>
                </w:tcPr>
                <w:p>
                  <w:r>
                    <w:t xml:space="preserve">Local infection of skin and subcutaneous tissue, unspecified</w:t>
                  </w:r>
                </w:p>
              </w:tc>
            </w:tr>
            <w:tr>
              <w:trPr/>
              <w:tc>
                <w:tcPr>
                  <w:tcW w:w="1100" w:type="pct"/>
                  <w:vAlign w:val="top"/>
                </w:tcPr>
                <w:p>
                  <w:r>
                    <w:t xml:space="preserve">L88</w:t>
                  </w:r>
                </w:p>
              </w:tc>
              <w:tc>
                <w:tcPr>
                  <w:tcW w:w="1350" w:type="pct"/>
                  <w:vAlign w:val="top"/>
                </w:tcPr>
                <w:p>
                  <w:r>
                    <w:t xml:space="preserve">Pyoderma gangrenosum</w:t>
                  </w:r>
                </w:p>
              </w:tc>
              <w:tc>
                <w:tcPr>
                  <w:tcW w:w="250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L98.0</w:t>
                  </w:r>
                </w:p>
              </w:tc>
              <w:tc>
                <w:tcPr>
                  <w:tcW w:w="1350" w:type="pct"/>
                  <w:vAlign w:val="top"/>
                </w:tcPr>
                <w:p>
                  <w:r>
                    <w:t xml:space="preserve">Pyogenic granuloma</w:t>
                  </w:r>
                </w:p>
              </w:tc>
              <w:tc>
                <w:tcPr>
                  <w:tcW w:w="250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1100" w:type="pct"/>
                  <w:vAlign w:val="top"/>
                </w:tcPr>
                <w:p>
                  <w:r>
                    <w:t xml:space="preserve">L98.3</w:t>
                  </w:r>
                </w:p>
              </w:tc>
              <w:tc>
                <w:tcPr>
                  <w:tcW w:w="1350" w:type="pct"/>
                  <w:vAlign w:val="top"/>
                </w:tcPr>
                <w:p>
                  <w:r>
                    <w:t xml:space="preserve">Eosinphilic cellulitis [Wells]</w:t>
                  </w:r>
                </w:p>
              </w:tc>
              <w:tc>
                <w:tcPr>
                  <w:tcW w:w="250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rPr>
                <w:b/>
              </w:rPr>
              <w:t xml:space="preserve"> </w:t>
            </w:r>
          </w:p>
          <w:p>
            <w:r>
              <w:t xml:space="preserve">Presented as a number per 100,000 people.</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f0a6eb4794fb4c58">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cellulitis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b1216f973a4e1a">
              <w:r>
                <w:rPr>
                  <w:rStyle w:val="Hyperlink"/>
                </w:rPr>
                <w:t xml:space="preserve">Person—date of birth, DDMMYYYY</w:t>
              </w:r>
            </w:hyperlink>
          </w:p>
          <w:p>
            <w:r>
              <w:rPr>
                <w:rStyle w:val="row-content"/>
                <w:b/>
              </w:rPr>
              <w:t xml:space="preserve">NMDS / DSS</w:t>
            </w:r>
          </w:p>
          <w:p>
            <w:hyperlink w:history="true" r:id="R7a098a1256544eb0">
              <w:r>
                <w:rPr>
                  <w:rStyle w:val="Hyperlink"/>
                </w:rPr>
                <w:t xml:space="preserve">Admitted patient care NMDS 2014-15</w:t>
              </w:r>
            </w:hyperlink>
          </w:p>
          <w:p>
            <w:r>
              <w:rPr>
                <w:rStyle w:val="row-content"/>
              </w:rPr>
              <w:t xml:space="preserve"> </w:t>
            </w:r>
          </w:p>
          <w:p>
            <w:r>
              <w:rPr>
                <w:rStyle w:val="row-content"/>
                <w:b/>
                <w:color w:val="000000"/>
              </w:rPr>
              <w:t xml:space="preserve">Data Element / Data Set</w:t>
            </w:r>
          </w:p>
          <w:p>
            <w:hyperlink w:history="true" r:id="R7c93c639670b4a18">
              <w:r>
                <w:rPr>
                  <w:rStyle w:val="Hyperlink"/>
                </w:rPr>
                <w:t xml:space="preserve">Hospital service—care type, code N[N]</w:t>
              </w:r>
            </w:hyperlink>
          </w:p>
          <w:p>
            <w:r>
              <w:rPr>
                <w:rStyle w:val="row-content"/>
                <w:b/>
              </w:rPr>
              <w:t xml:space="preserve">NMDS / DSS</w:t>
            </w:r>
          </w:p>
          <w:p>
            <w:hyperlink w:history="true" r:id="Rfb78c30c8b194086">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70b976d56b94a75">
              <w:r>
                <w:rPr>
                  <w:rStyle w:val="Hyperlink"/>
                </w:rPr>
                <w:t xml:space="preserve">Episode of care—principal diagnosis, code (ICD-10-AM 8th edn) ANN{.N[N]}</w:t>
              </w:r>
            </w:hyperlink>
          </w:p>
          <w:p>
            <w:r>
              <w:rPr>
                <w:rStyle w:val="row-content"/>
                <w:b/>
              </w:rPr>
              <w:t xml:space="preserve">Data Source</w:t>
            </w:r>
          </w:p>
          <w:p>
            <w:hyperlink w:history="true" r:id="Rdb77c91dc84448c0">
              <w:r>
                <w:rPr>
                  <w:rStyle w:val="Hyperlink"/>
                </w:rPr>
                <w:t xml:space="preserve">National Hospital Morbidity Database (NHMD)</w:t>
              </w:r>
            </w:hyperlink>
          </w:p>
          <w:p>
            <w:r>
              <w:rPr>
                <w:rStyle w:val="row-content"/>
                <w:b/>
              </w:rPr>
              <w:t xml:space="preserve">NMDS / DSS</w:t>
            </w:r>
          </w:p>
          <w:p>
            <w:hyperlink w:history="true" r:id="R07c5b68b7d9b4f09">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fc2389f85047476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690970d462c4368">
              <w:r>
                <w:rPr>
                  <w:rStyle w:val="Hyperlink"/>
                </w:rPr>
                <w:t xml:space="preserve">Person—estimated resident population of Australia, total people N[N(7)]</w:t>
              </w:r>
            </w:hyperlink>
          </w:p>
          <w:p>
            <w:r>
              <w:rPr>
                <w:rStyle w:val="row-content"/>
                <w:b/>
              </w:rPr>
              <w:t xml:space="preserve">Data Source</w:t>
            </w:r>
          </w:p>
          <w:p>
            <w:hyperlink w:history="true" r:id="R69771301245b429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r>
              <w:rPr>
                <w:rStyle w:val="row-content-rich-text"/>
              </w:rPr>
              <w:t xml:space="preserve">State and 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27c197c4134db5">
              <w:r>
                <w:rPr>
                  <w:rStyle w:val="Hyperlink"/>
                </w:rPr>
                <w:t xml:space="preserve">Person—area of usual residence, statistical area level 2 (SA2) code (ASGS 2011) N(9)</w:t>
              </w:r>
            </w:hyperlink>
          </w:p>
          <w:p>
            <w:r>
              <w:rPr>
                <w:rStyle w:val="row-content"/>
                <w:b/>
              </w:rPr>
              <w:t xml:space="preserve">Data Source</w:t>
            </w:r>
          </w:p>
          <w:p>
            <w:hyperlink w:history="true" r:id="R1d25cb1615d8405a">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107c2ed61942b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28f325a5520481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bee6d4943b7471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f6bfe5c8cd0428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b32d9bb113f434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 </w:t>
                  </w:r>
                </w:p>
              </w:tc>
            </w:tr>
            <w:tr>
              <w:trPr/>
              <w:tc>
                <w:tcPr>
                  <w:tcW w:w="5000" w:type="pct"/>
                  <w:vAlign w:val="top"/>
                </w:tcPr>
                <w:p>
                  <w: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r>
                    <w:t xml:space="preserve"> </w:t>
                  </w:r>
                </w:p>
                <w:p>
                  <w:r>
                    <w:rPr>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color w:val="000000"/>
                    </w:rPr>
                    <w:t xml:space="preserve">  </w:t>
                  </w:r>
                </w:p>
                <w:p>
                  <w:r>
                    <w:t xml:space="preserve">Private hospitals include private free-standing day hospital facilities and other private hospitals (which also include private psychiatric hospitals).</w:t>
                  </w:r>
                </w:p>
                <w:p>
                  <w:r>
                    <w:t xml:space="preserve"> </w:t>
                  </w:r>
                </w:p>
                <w:p>
                  <w:r>
                    <w:rPr>
                      <w:b/>
                    </w:rPr>
                    <w:t xml:space="preserve"> </w:t>
                  </w:r>
                </w:p>
              </w:tc>
            </w:tr>
            <w:tr>
              <w:trPr/>
              <w:tc>
                <w:tcPr>
                  <w:tcW w:w="5000" w:type="pct"/>
                  <w:vAlign w:val="top"/>
                </w:tcPr>
                <w:p>
                  <w:r>
                    <w:rPr>
                      <w:b/>
                    </w:rPr>
                    <w:t xml:space="preserve">                </w:t>
                  </w:r>
                  <w:r>
                    <w:rPr>
                      <w:b/>
                    </w:rPr>
                    <w:t xml:space="preserve">Description of ACHI codes specified in the computation description (for reference only)</w:t>
                  </w:r>
                </w:p>
                <w:tbl>
                  <w:tblPr>
                    <w:tblStyle w:val="InnerTable"/>
                    <w:tblW w:w="5000" w:type="pct"/>
                    <w:tblLayout w:type="autofit"/>
                  </w:tblPr>
                  <w:tblGrid>
                    <w:gridCol/>
                    <w:gridCol/>
                    <w:gridCol/>
                  </w:tblGrid>
                  <w:tr>
                    <w:trPr/>
                    <w:tc>
                      <w:tcPr>
                        <w:tcW w:w="1700" w:type="pct"/>
                        <w:vAlign w:val="top"/>
                      </w:tcPr>
                      <w:p>
                        <w:r>
                          <w:rPr>
                            <w:b/>
                          </w:rPr>
                          <w:t xml:space="preserve">ACHI 8th editionblock</w:t>
                        </w:r>
                      </w:p>
                    </w:tc>
                    <w:tc>
                      <w:tcPr>
                        <w:tcW w:w="750" w:type="pct"/>
                        <w:vAlign w:val="top"/>
                      </w:tcPr>
                      <w:p>
                        <w:r>
                          <w:rPr>
                            <w:b/>
                          </w:rPr>
                          <w:t xml:space="preserve">Description</w:t>
                        </w:r>
                      </w:p>
                    </w:tc>
                    <w:tc>
                      <w:tcPr>
                        <w:tcW w:w="2500" w:type="pct"/>
                        <w:vAlign w:val="top"/>
                      </w:tcPr>
                      <w:p>
                        <w:r>
                          <w:rPr>
                            <w:b/>
                          </w:rPr>
                          <w:t xml:space="preserve">Additional requirements</w:t>
                        </w:r>
                      </w:p>
                    </w:tc>
                  </w:tr>
                  <w:tr>
                    <w:trPr/>
                    <w:tc>
                      <w:tcPr>
                        <w:tcW w:w="1700" w:type="pct"/>
                        <w:vAlign w:val="top"/>
                      </w:tcPr>
                      <w:p>
                        <w:r>
                          <w:t xml:space="preserve">[1820] - [1922]</w:t>
                        </w:r>
                      </w:p>
                    </w:tc>
                    <w:tc>
                      <w:tcPr>
                        <w:tcW w:w="750" w:type="pct"/>
                        <w:vAlign w:val="top"/>
                      </w:tcPr>
                      <w:p>
                        <w:r>
                          <w:t xml:space="preserve">Noninvasive, cognitive and other interventions, not elsewhere classified </w:t>
                        </w:r>
                      </w:p>
                    </w:tc>
                    <w:tc>
                      <w:tcPr>
                        <w:tcW w:w="2500" w:type="pct"/>
                        <w:vMerge w:val="restart"/>
                        <w:vAlign w:val="top"/>
                      </w:tcPr>
                      <w:p>
                        <w:r>
                          <w:t xml:space="preserve">Only listed procedures</w:t>
                        </w:r>
                      </w:p>
                    </w:tc>
                  </w:tr>
                  <w:tr>
                    <w:trPr/>
                    <w:tc>
                      <w:tcPr>
                        <w:tcW w:w="1700" w:type="pct"/>
                        <w:vAlign w:val="top"/>
                      </w:tcPr>
                      <w:p>
                        <w:r>
                          <w:t xml:space="preserve">[1940] - [2016]</w:t>
                        </w:r>
                      </w:p>
                    </w:tc>
                    <w:tc>
                      <w:tcPr>
                        <w:tcW w:w="750" w:type="pct"/>
                        <w:vMerge/>
                      </w:tcPr>
                      <w:p/>
                    </w:tc>
                    <w:tc>
                      <w:tcPr>
                        <w:tcW w:w="2500" w:type="pct"/>
                        <w:vAlign w:val="top"/>
                      </w:tcPr>
                      <w:p>
                        <w:r>
                          <w:t xml:space="preserve">Imaging services</w:t>
                        </w:r>
                      </w:p>
                    </w:tc>
                  </w:tr>
                  <w:tr>
                    <w:trPr/>
                    <w:tc>
                      <w:tcPr>
                        <w:tcW w:w="1700" w:type="pct"/>
                        <w:vAlign w:val="top"/>
                      </w:tcPr>
                      <w:p>
                        <w:r>
                          <w:rPr>
                            <w:b/>
                          </w:rPr>
                          <w:t xml:space="preserve">ACHI 8th edition code </w:t>
                        </w:r>
                      </w:p>
                    </w:tc>
                    <w:tc>
                      <w:tcPr>
                        <w:tcW w:w="750" w:type="pct"/>
                        <w:vMerge/>
                      </w:tcPr>
                      <w:p/>
                    </w:tc>
                    <w:tc>
                      <w:tcPr>
                        <w:tcW w:w="2500" w:type="pct"/>
                        <w:vAlign w:val="top"/>
                      </w:tcPr>
                      <w:p>
                        <w:r>
                          <w:t xml:space="preserve"> </w:t>
                        </w:r>
                      </w:p>
                    </w:tc>
                  </w:tr>
                  <w:tr>
                    <w:trPr/>
                    <w:tc>
                      <w:tcPr>
                        <w:tcW w:w="1700" w:type="pct"/>
                        <w:vAlign w:val="top"/>
                      </w:tcPr>
                      <w:p>
                        <w:r>
                          <w:t xml:space="preserve">30216-00 [1604]</w:t>
                        </w:r>
                      </w:p>
                    </w:tc>
                    <w:tc>
                      <w:tcPr>
                        <w:tcW w:w="750" w:type="pct"/>
                        <w:vMerge/>
                      </w:tcPr>
                      <w:p/>
                    </w:tc>
                    <w:tc>
                      <w:tcPr>
                        <w:tcW w:w="2500" w:type="pct"/>
                        <w:vAlign w:val="top"/>
                      </w:tcPr>
                      <w:p>
                        <w:r>
                          <w:t xml:space="preserve">Aspiration of haematoma of skin and subcutaneous tissue</w:t>
                        </w:r>
                      </w:p>
                    </w:tc>
                  </w:tr>
                  <w:tr>
                    <w:trPr/>
                    <w:tc>
                      <w:tcPr>
                        <w:tcW w:w="1700" w:type="pct"/>
                        <w:vAlign w:val="top"/>
                      </w:tcPr>
                      <w:p>
                        <w:r>
                          <w:t xml:space="preserve">30216-01 [1604]</w:t>
                        </w:r>
                      </w:p>
                    </w:tc>
                    <w:tc>
                      <w:tcPr>
                        <w:tcW w:w="750" w:type="pct"/>
                        <w:vMerge/>
                      </w:tcPr>
                      <w:p/>
                    </w:tc>
                    <w:tc>
                      <w:tcPr>
                        <w:tcW w:w="2500" w:type="pct"/>
                        <w:vAlign w:val="top"/>
                      </w:tcPr>
                      <w:p>
                        <w:r>
                          <w:t xml:space="preserve">Aspiration of abscess of skin and subcutaneous tissue</w:t>
                        </w:r>
                      </w:p>
                    </w:tc>
                  </w:tr>
                  <w:tr>
                    <w:trPr/>
                    <w:tc>
                      <w:tcPr>
                        <w:tcW w:w="1700" w:type="pct"/>
                        <w:vAlign w:val="top"/>
                      </w:tcPr>
                      <w:p>
                        <w:r>
                          <w:t xml:space="preserve">30216-02 [1604]</w:t>
                        </w:r>
                      </w:p>
                    </w:tc>
                    <w:tc>
                      <w:tcPr>
                        <w:tcW w:w="750" w:type="pct"/>
                        <w:vMerge/>
                      </w:tcPr>
                      <w:p/>
                    </w:tc>
                    <w:tc>
                      <w:tcPr>
                        <w:tcW w:w="2500" w:type="pct"/>
                        <w:vAlign w:val="top"/>
                      </w:tcPr>
                      <w:p>
                        <w:r>
                          <w:t xml:space="preserve">Other aspiration of skin and subcutaneous tissue</w:t>
                        </w:r>
                      </w:p>
                    </w:tc>
                  </w:tr>
                  <w:tr>
                    <w:trPr/>
                    <w:tc>
                      <w:tcPr>
                        <w:tcW w:w="1700" w:type="pct"/>
                        <w:vAlign w:val="top"/>
                      </w:tcPr>
                      <w:p>
                        <w:r>
                          <w:t xml:space="preserve">30676-00 [1659]</w:t>
                        </w:r>
                      </w:p>
                    </w:tc>
                    <w:tc>
                      <w:tcPr>
                        <w:tcW w:w="750" w:type="pct"/>
                        <w:vMerge/>
                      </w:tcPr>
                      <w:p/>
                    </w:tc>
                    <w:tc>
                      <w:tcPr>
                        <w:tcW w:w="2500" w:type="pct"/>
                        <w:vAlign w:val="top"/>
                      </w:tcPr>
                      <w:p>
                        <w:r>
                          <w:t xml:space="preserve">Incision of pilonidal sinus or cyst</w:t>
                        </w:r>
                      </w:p>
                    </w:tc>
                  </w:tr>
                  <w:tr>
                    <w:trPr/>
                    <w:tc>
                      <w:tcPr>
                        <w:tcW w:w="1700" w:type="pct"/>
                        <w:vAlign w:val="top"/>
                      </w:tcPr>
                      <w:p>
                        <w:r>
                          <w:t xml:space="preserve">30223-01 [1606]</w:t>
                        </w:r>
                      </w:p>
                    </w:tc>
                    <w:tc>
                      <w:tcPr>
                        <w:tcW w:w="750" w:type="pct"/>
                        <w:vMerge/>
                      </w:tcPr>
                      <w:p/>
                    </w:tc>
                    <w:tc>
                      <w:tcPr>
                        <w:tcW w:w="2500" w:type="pct"/>
                        <w:vAlign w:val="top"/>
                      </w:tcPr>
                      <w:p>
                        <w:r>
                          <w:t xml:space="preserve">Incision and drainage of abscess of skin and subcutaneous tissue</w:t>
                        </w:r>
                      </w:p>
                    </w:tc>
                  </w:tr>
                  <w:tr>
                    <w:trPr/>
                    <w:tc>
                      <w:tcPr>
                        <w:tcW w:w="1700" w:type="pct"/>
                        <w:vAlign w:val="top"/>
                      </w:tcPr>
                      <w:p>
                        <w:r>
                          <w:t xml:space="preserve">30223-02 [1606]</w:t>
                        </w:r>
                      </w:p>
                    </w:tc>
                    <w:tc>
                      <w:tcPr>
                        <w:tcW w:w="750" w:type="pct"/>
                        <w:vMerge/>
                      </w:tcPr>
                      <w:p/>
                    </w:tc>
                    <w:tc>
                      <w:tcPr>
                        <w:tcW w:w="2500" w:type="pct"/>
                        <w:vAlign w:val="top"/>
                      </w:tcPr>
                      <w:p>
                        <w:r>
                          <w:t xml:space="preserve">Other incision and drainage of skin and subcutaneous tissue</w:t>
                        </w:r>
                      </w:p>
                    </w:tc>
                  </w:tr>
                  <w:tr>
                    <w:trPr/>
                    <w:tc>
                      <w:tcPr>
                        <w:tcW w:w="1700" w:type="pct"/>
                        <w:vAlign w:val="top"/>
                      </w:tcPr>
                      <w:p>
                        <w:r>
                          <w:t xml:space="preserve">30064-00 [1605]</w:t>
                        </w:r>
                      </w:p>
                    </w:tc>
                    <w:tc>
                      <w:tcPr>
                        <w:tcW w:w="750" w:type="pct"/>
                        <w:vMerge/>
                      </w:tcPr>
                      <w:p/>
                    </w:tc>
                    <w:tc>
                      <w:tcPr>
                        <w:tcW w:w="2500" w:type="pct"/>
                        <w:vAlign w:val="top"/>
                      </w:tcPr>
                      <w:p>
                        <w:r>
                          <w:t xml:space="preserve">Removal of foreign body from skin and subcutaneous tissue with incision</w:t>
                        </w:r>
                      </w:p>
                    </w:tc>
                  </w:tr>
                  <w:tr>
                    <w:trPr/>
                    <w:tc>
                      <w:tcPr>
                        <w:tcW w:w="1700" w:type="pct"/>
                        <w:vAlign w:val="top"/>
                      </w:tcPr>
                      <w:p>
                        <w:r>
                          <w:t xml:space="preserve">90660-00 [1602]</w:t>
                        </w:r>
                      </w:p>
                    </w:tc>
                    <w:tc>
                      <w:tcPr>
                        <w:tcW w:w="750" w:type="pct"/>
                        <w:vMerge/>
                      </w:tcPr>
                      <w:p/>
                    </w:tc>
                    <w:tc>
                      <w:tcPr>
                        <w:tcW w:w="2500" w:type="pct"/>
                        <w:vAlign w:val="top"/>
                      </w:tcPr>
                      <w:p>
                        <w:r>
                          <w:t xml:space="preserve">Administration of agent into skin and subcutaneous tissue</w:t>
                        </w:r>
                      </w:p>
                    </w:tc>
                  </w:tr>
                  <w:tr>
                    <w:trPr/>
                    <w:tc>
                      <w:tcPr>
                        <w:tcW w:w="1700" w:type="pct"/>
                        <w:vAlign w:val="top"/>
                      </w:tcPr>
                      <w:p>
                        <w:r>
                          <w:t xml:space="preserve">90661-00 [1608]</w:t>
                        </w:r>
                      </w:p>
                    </w:tc>
                    <w:tc>
                      <w:tcPr>
                        <w:tcW w:w="750" w:type="pct"/>
                        <w:vMerge/>
                      </w:tcPr>
                      <w:p/>
                    </w:tc>
                    <w:tc>
                      <w:tcPr>
                        <w:tcW w:w="2500" w:type="pct"/>
                        <w:vAlign w:val="top"/>
                      </w:tcPr>
                      <w:p>
                        <w:r>
                          <w:t xml:space="preserve">Other incision of skin and subcutaneous tissue</w:t>
                        </w:r>
                      </w:p>
                    </w:tc>
                  </w:tr>
                </w:tbl>
                <w:p>
                  <w:r>
                    <w:rPr>
                      <w:b/>
                    </w:rPr>
                    <w:t xml:space="preserve"> </w:t>
                  </w:r>
                </w:p>
                <w:p>
                  <w:r>
                    <w:t xml:space="preserve"> </w:t>
                  </w:r>
                </w:p>
              </w:tc>
            </w:tr>
          </w:tbl>
          <w:p>
            <w:r>
              <w:t xml:space="preserve"> </w:t>
            </w:r>
          </w:p>
          <w:p>
            <w:r>
              <w:br/>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u w:val="single"/>
              </w:rPr>
              <w:t xml:space="preserve">National Healthcare Agreement: PI 18–Selected potentially preventable hospitalisations, 2017</w:t>
            </w:r>
          </w:p>
          <w:p>
            <w:hyperlink w:history="true" r:id="Rc66c5d7b3283432a">
              <w:r>
                <w:rPr>
                  <w:rStyle w:val="Hyperlink"/>
                </w:rPr>
                <w:t xml:space="preserve">/content/index.phtml/itemId/630028</w:t>
              </w:r>
            </w:hyperlink>
          </w:p>
          <w:p>
            <w:hyperlink w:history="true" r:id="R06463b9048bc4338">
              <w:r>
                <w:rPr>
                  <w:rStyle w:val="Hyperlink"/>
                </w:rPr>
                <w:t xml:space="preserve">Australian Commission on Safety and Quality in Health Care and Australian Institute of Health and Welfare. Exploring Healthcare Variation in Australia: Analyses Resulting from an OECD Study. Sydney: ACSQHC, 2014.</w:t>
              </w:r>
            </w:hyperlink>
          </w:p>
          <w:p>
            <w:hyperlink w:history="true" r:id="R9386eded0539455d">
              <w:r>
                <w:rPr>
                  <w:rStyle w:val="Hyperlink"/>
                </w:rPr>
                <w:t xml:space="preserve">National Health Performance Authority 2015, Healthy Communities: Potentially preventable hospitalisations in 2013–14, 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1a56b0da87a4ed8">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813414b420504bb4">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52f0defc97bf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638588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99422e9eb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0defc97bf4897" /><Relationship Type="http://schemas.openxmlformats.org/officeDocument/2006/relationships/header" Target="/word/header1.xml" Id="Rb9cc55b96637461d" /><Relationship Type="http://schemas.openxmlformats.org/officeDocument/2006/relationships/settings" Target="/word/settings.xml" Id="R2d1b012d63d54d6d" /><Relationship Type="http://schemas.openxmlformats.org/officeDocument/2006/relationships/styles" Target="/word/styles.xml" Id="R31257b54458b42f7" /><Relationship Type="http://schemas.openxmlformats.org/officeDocument/2006/relationships/numbering" Target="/word/numbering.xml" Id="R4eb70a1692d34451" /><Relationship Type="http://schemas.openxmlformats.org/officeDocument/2006/relationships/hyperlink" Target="https://meteor-uat.aihw.gov.au/RegistrationAuthority/2" TargetMode="External" Id="Rbb2902125e5044cd" /><Relationship Type="http://schemas.openxmlformats.org/officeDocument/2006/relationships/hyperlink" Target="https://meteor-uat.aihw.gov.au/content/674758" TargetMode="External" Id="R76b1b551570440fa" /><Relationship Type="http://schemas.openxmlformats.org/officeDocument/2006/relationships/hyperlink" Target="https://meteor-uat.aihw.gov.au/RegistrationAuthority/2" TargetMode="External" Id="R7832e6e55dd84c90" /><Relationship Type="http://schemas.openxmlformats.org/officeDocument/2006/relationships/hyperlink" Target="https://meteor-uat.aihw.gov.au/content/327276" TargetMode="External" Id="Rf0a6eb4794fb4c58" /><Relationship Type="http://schemas.openxmlformats.org/officeDocument/2006/relationships/hyperlink" Target="https://meteor-uat.aihw.gov.au/content/287007" TargetMode="External" Id="Rb2b1216f973a4e1a" /><Relationship Type="http://schemas.openxmlformats.org/officeDocument/2006/relationships/hyperlink" Target="https://meteor-uat.aihw.gov.au/content/535047" TargetMode="External" Id="R7a098a1256544eb0" /><Relationship Type="http://schemas.openxmlformats.org/officeDocument/2006/relationships/hyperlink" Target="https://meteor-uat.aihw.gov.au/content/491557" TargetMode="External" Id="R7c93c639670b4a18" /><Relationship Type="http://schemas.openxmlformats.org/officeDocument/2006/relationships/hyperlink" Target="https://meteor-uat.aihw.gov.au/content/535047" TargetMode="External" Id="Rfb78c30c8b194086" /><Relationship Type="http://schemas.openxmlformats.org/officeDocument/2006/relationships/hyperlink" Target="https://meteor-uat.aihw.gov.au/content/514273" TargetMode="External" Id="Rd70b976d56b94a75" /><Relationship Type="http://schemas.openxmlformats.org/officeDocument/2006/relationships/hyperlink" Target="https://meteor-uat.aihw.gov.au/content/394352" TargetMode="External" Id="Rdb77c91dc84448c0" /><Relationship Type="http://schemas.openxmlformats.org/officeDocument/2006/relationships/hyperlink" Target="https://meteor-uat.aihw.gov.au/content/535047" TargetMode="External" Id="R07c5b68b7d9b4f09" /><Relationship Type="http://schemas.openxmlformats.org/officeDocument/2006/relationships/hyperlink" Target="https://meteor-uat.aihw.gov.au/content/394092" TargetMode="External" Id="Rfc2389f85047476d" /><Relationship Type="http://schemas.openxmlformats.org/officeDocument/2006/relationships/hyperlink" Target="https://meteor-uat.aihw.gov.au/content/388656" TargetMode="External" Id="Rc690970d462c4368" /><Relationship Type="http://schemas.openxmlformats.org/officeDocument/2006/relationships/hyperlink" Target="https://meteor-uat.aihw.gov.au/content/393625" TargetMode="External" Id="R69771301245b4291" /><Relationship Type="http://schemas.openxmlformats.org/officeDocument/2006/relationships/hyperlink" Target="https://meteor-uat.aihw.gov.au/content/469909" TargetMode="External" Id="Rab27c197c4134db5" /><Relationship Type="http://schemas.openxmlformats.org/officeDocument/2006/relationships/hyperlink" Target="https://meteor-uat.aihw.gov.au/content/394352" TargetMode="External" Id="R1d25cb1615d8405a" /><Relationship Type="http://schemas.openxmlformats.org/officeDocument/2006/relationships/hyperlink" Target="https://meteor-uat.aihw.gov.au/content/394092" TargetMode="External" Id="Rff107c2ed61942bc" /><Relationship Type="http://schemas.openxmlformats.org/officeDocument/2006/relationships/hyperlink" Target="https://meteor-uat.aihw.gov.au/content/449223" TargetMode="External" Id="R228f325a5520481e" /><Relationship Type="http://schemas.openxmlformats.org/officeDocument/2006/relationships/hyperlink" Target="https://meteor-uat.aihw.gov.au/content/394352" TargetMode="External" Id="R1bee6d4943b74711" /><Relationship Type="http://schemas.openxmlformats.org/officeDocument/2006/relationships/hyperlink" Target="https://meteor-uat.aihw.gov.au/content/393625" TargetMode="External" Id="R6f6bfe5c8cd04282" /><Relationship Type="http://schemas.openxmlformats.org/officeDocument/2006/relationships/hyperlink" Target="https://meteor-uat.aihw.gov.au/content/449216" TargetMode="External" Id="R4b32d9bb113f4343" /><Relationship Type="http://schemas.openxmlformats.org/officeDocument/2006/relationships/hyperlink" Target="https://meteor-uat.aihw.gov.au/content/630028" TargetMode="External" Id="Rc66c5d7b3283432a" /><Relationship Type="http://schemas.openxmlformats.org/officeDocument/2006/relationships/hyperlink" Target="http://www.safetyandquality.gov.au/wp-content/uploads/2014/05/Exploring-Healthcare-Variation-in-Australia-Analyses-Resulting-from-an-OECD-Study.pdf" TargetMode="External" Id="R06463b9048bc4338" /><Relationship Type="http://schemas.openxmlformats.org/officeDocument/2006/relationships/hyperlink" Target="http://www.myhealthycommunities.gov.au/our-reports/potentially-preventable-hospitalisations/december-2015/technical-supplement" TargetMode="External" Id="R9386eded0539455d" /><Relationship Type="http://schemas.openxmlformats.org/officeDocument/2006/relationships/hyperlink" Target="https://meteor-uat.aihw.gov.au/content/724500" TargetMode="External" Id="R21a56b0da87a4ed8" /><Relationship Type="http://schemas.openxmlformats.org/officeDocument/2006/relationships/hyperlink" Target="https://meteor-uat.aihw.gov.au/RegistrationAuthority/2" TargetMode="External" Id="R813414b420504bb4" /></Relationships>
</file>

<file path=word/_rels/header1.xml.rels>&#65279;<?xml version="1.0" encoding="utf-8"?><Relationships xmlns="http://schemas.openxmlformats.org/package/2006/relationships"><Relationship Type="http://schemas.openxmlformats.org/officeDocument/2006/relationships/image" Target="/media/image.png" Id="Rf4899422e9eb4bff" /></Relationships>
</file>