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519d8623d74508" /></Relationships>
</file>

<file path=word/document.xml><?xml version="1.0" encoding="utf-8"?>
<w:document xmlns:r="http://schemas.openxmlformats.org/officeDocument/2006/relationships" xmlns:w="http://schemas.openxmlformats.org/wordprocessingml/2006/main">
  <w:body>
    <w:p>
      <w:pPr>
        <w:pStyle w:val="Title"/>
      </w:pPr>
      <w:r>
        <w:t>Indigenous community housing DSS 2014-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DSS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62743e723d490b">
              <w:r>
                <w:rPr>
                  <w:rStyle w:val="Hyperlink"/>
                  <w:color w:val="244061"/>
                </w:rPr>
                <w:t xml:space="preserve">Housing assistance</w:t>
              </w:r>
            </w:hyperlink>
            <w:r>
              <w:rPr>
                <w:rStyle w:val="row-content"/>
                <w:color w:val="244061"/>
              </w:rPr>
              <w:t xml:space="preserve">, Recorded 12/05/2016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Indigenous community housing (ICH) collection is funded Indigenous Community Housing Organisations (ICHOs).</w:t>
            </w:r>
          </w:p>
          <w:p>
            <w:pPr>
              <w:spacing w:after="160"/>
            </w:pPr>
            <w:r>
              <w:rPr>
                <w:rStyle w:val="row-content-rich-text"/>
              </w:rPr>
              <w:t xml:space="preserve">Data is collected about unfunded ICHOs, but this is limited to the number of unfunded ICHOs and the number of dwellings managed by unfunded ICHOs.</w:t>
            </w:r>
          </w:p>
          <w:p>
            <w:pPr>
              <w:spacing w:after="160"/>
            </w:pPr>
            <w:r>
              <w:rPr>
                <w:rStyle w:val="row-content-rich-text"/>
              </w:rPr>
              <w:t xml:space="preserve">ICHOs are any Aboriginal and/or Torres Strait Islander organisations that are responsible for managing housing for Indigenous people. This includes community organisations such as resource agencies and land councils, which have a range of functions, provided that they manage housing for Indigenous people.</w:t>
            </w:r>
          </w:p>
          <w:p>
            <w:pPr>
              <w:spacing w:after="160"/>
            </w:pPr>
            <w:r>
              <w:rPr>
                <w:rStyle w:val="row-content-rich-text"/>
              </w:rPr>
              <w:t xml:space="preserve">Funded ICHOs are those that received funding in the reference financial year.</w:t>
            </w:r>
          </w:p>
          <w:p>
            <w:pPr>
              <w:spacing w:after="160"/>
            </w:pPr>
            <w:r>
              <w:rPr>
                <w:rStyle w:val="row-content-rich-text"/>
              </w:rPr>
              <w:t xml:space="preserve">Unfunded ICHOs are those that received funding in previous financial years, previous to the reference year (i.e. before 1 July of the reference year) but not in the current financial year.</w:t>
            </w:r>
          </w:p>
          <w:p>
            <w:pPr>
              <w:spacing w:after="160"/>
            </w:pPr>
            <w:r>
              <w:rPr>
                <w:rStyle w:val="row-content-rich-text"/>
              </w:rPr>
              <w:t xml:space="preserve">ICH for the purpose of this collection includes dwellings:</w:t>
            </w:r>
          </w:p>
          <w:p>
            <w:pPr>
              <w:pStyle w:val="ListParagraph"/>
              <w:numPr>
                <w:ilvl w:val="0"/>
                <w:numId w:val="2"/>
              </w:numPr>
            </w:pPr>
            <w:r>
              <w:rPr>
                <w:rStyle w:val="row-content-rich-text"/>
              </w:rPr>
              <w:t xml:space="preserve">targeted to Indigenous people; and</w:t>
            </w:r>
          </w:p>
          <w:p>
            <w:pPr>
              <w:pStyle w:val="ListParagraph"/>
              <w:numPr>
                <w:ilvl w:val="0"/>
                <w:numId w:val="2"/>
              </w:numPr>
            </w:pPr>
            <w:r>
              <w:rPr>
                <w:rStyle w:val="row-content-rich-text"/>
              </w:rPr>
              <w:t xml:space="preserve">managed by ICHOs able to provide medium to long term housing tenure to tenants. </w:t>
            </w:r>
          </w:p>
          <w:p>
            <w:pPr>
              <w:spacing w:after="160"/>
            </w:pPr>
            <w:r>
              <w:rPr>
                <w:rStyle w:val="row-content-rich-text"/>
              </w:rPr>
              <w:t xml:space="preserve">This collection excludes dwellings managed under:</w:t>
            </w:r>
          </w:p>
          <w:p>
            <w:pPr>
              <w:pStyle w:val="ListParagraph"/>
              <w:numPr>
                <w:ilvl w:val="0"/>
                <w:numId w:val="3"/>
              </w:numPr>
            </w:pPr>
            <w:r>
              <w:rPr>
                <w:rStyle w:val="row-content-rich-text"/>
              </w:rPr>
              <w:t xml:space="preserve">mainstream community housing (i.e. not managed by an ICHO); </w:t>
            </w:r>
          </w:p>
          <w:p>
            <w:pPr>
              <w:pStyle w:val="ListParagraph"/>
              <w:numPr>
                <w:ilvl w:val="0"/>
                <w:numId w:val="3"/>
              </w:numPr>
            </w:pPr>
            <w:r>
              <w:rPr>
                <w:rStyle w:val="row-content-rich-text"/>
              </w:rPr>
              <w:t xml:space="preserve">public rental housing; </w:t>
            </w:r>
          </w:p>
          <w:p>
            <w:pPr>
              <w:pStyle w:val="ListParagraph"/>
              <w:numPr>
                <w:ilvl w:val="0"/>
                <w:numId w:val="3"/>
              </w:numPr>
            </w:pPr>
            <w:r>
              <w:rPr>
                <w:rStyle w:val="row-content-rich-text"/>
              </w:rPr>
              <w:t xml:space="preserve">state owned and managed Indigenous housing (SOMIH); and </w:t>
            </w:r>
          </w:p>
          <w:p>
            <w:pPr>
              <w:pStyle w:val="ListParagraph"/>
              <w:numPr>
                <w:ilvl w:val="0"/>
                <w:numId w:val="3"/>
              </w:numPr>
            </w:pPr>
            <w:r>
              <w:rPr>
                <w:rStyle w:val="row-content-rich-text"/>
              </w:rPr>
              <w:t xml:space="preserve">the Crisis Accommodation Program (CAP).</w:t>
            </w:r>
          </w:p>
          <w:p>
            <w:pPr/>
            <w:r>
              <w:rPr>
                <w:rStyle w:val="row-content-rich-text"/>
              </w:rPr>
              <w:t xml:space="preserve">Dwellings no longer under the administration of an ICHO at 30 June of the reference financial year (including dwellings demolished, sold or otherwise disposed of) and dwellings not yet available to the ICHO at 30 June of the reference financial year (such as those still under construction or being purchased) are also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7ccb8d224774d88">
              <w:r>
                <w:rPr>
                  <w:rStyle w:val="Hyperlink"/>
                </w:rPr>
                <w:t xml:space="preserve">Dwellings</w:t>
              </w:r>
            </w:hyperlink>
            <w:r>
              <w:rPr>
                <w:rStyle w:val="row-content-rich-text"/>
              </w:rPr>
              <w:t xml:space="preserve"> and </w:t>
            </w:r>
            <w:hyperlink w:history="true" r:id="R0e94de4e8a254a00">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provided annually to the AIHW by states/territories and are sourced from ICHOs via surveys, the jurisdiction's administrative systems, and dwelling audits conducted by states/territories.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 to the collection period of the data set to determine the reference year for this data set specification.</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A separate building (also referred to as a rooming or lodging house) containing multiple boarding/rooming/lodging house bedrooms and/or boarding house units." w:history="true" r:id="Rbb80207e6c4b4b66">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fcf6a21b67094b22">
              <w:r>
                <w:rPr>
                  <w:rStyle w:val="Hyperlink"/>
                  <w:b/>
                </w:rPr>
                <w:t xml:space="preserve">Boarding house room </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aae82445a213466f">
              <w:r>
                <w:rPr>
                  <w:rStyle w:val="Hyperlink"/>
                  <w:b/>
                </w:rPr>
                <w:t xml:space="preserve">Boarding house unit </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6622a16049604570">
              <w:r>
                <w:rPr>
                  <w:rStyle w:val="Hyperlink"/>
                  <w:b/>
                </w:rPr>
                <w:t xml:space="preserve">Canadian National Occupancy Standard (CNOS)</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42c91c2f8b8341da">
              <w:r>
                <w:rPr>
                  <w:rStyle w:val="Hyperlink"/>
                  <w:b/>
                </w:rPr>
                <w:t xml:space="preserve">Geographic indicator</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8d6c50f6cd2c4e06">
              <w:r>
                <w:rPr>
                  <w:rStyle w:val="Hyperlink"/>
                  <w:b/>
                </w:rPr>
                <w:t xml:space="preserve">Household </w:t>
              </w:r>
            </w:hyperlink>
          </w:p>
          <w:p>
            <w:hyperlink w:tooltip="Non-cash expenses incurred by a service provider organisation through the provision of housing assistance. These expenses include:&#10;loss on disposal of assets&#10;loss on revaluation of assets&#10;impairment expenses&#10;assets and services provided free of ch..." w:history="true" r:id="R989988b79bb24fff">
              <w:r>
                <w:rPr>
                  <w:rStyle w:val="Hyperlink"/>
                  <w:b/>
                </w:rPr>
                <w:t xml:space="preserve">Non-cash housing assistance expenses </w:t>
              </w:r>
            </w:hyperlink>
          </w:p>
          <w:p>
            <w:hyperlink w:tooltip="A non-financial asset is an entity functioning as a store of value, over which ownership may be derived over a period of time, and which is not a financial asset." w:history="true" r:id="R3ccfb75b406c4936">
              <w:r>
                <w:rPr>
                  <w:rStyle w:val="Hyperlink"/>
                  <w:b/>
                </w:rPr>
                <w:t xml:space="preserve">Non-financial asset</w:t>
              </w:r>
            </w:hyperlink>
          </w:p>
          <w:p>
            <w:hyperlink w:tooltip="Other non-salary expenses incurred by the service provider organisation through the provision of housing assistance. These expenses include:&#10;property-related expenses (e.g. rates, costs of disposals)&#10;office supplies and services (e.g. stationery, po..." w:history="true" r:id="R5c5009a329a84c1d">
              <w:r>
                <w:rPr>
                  <w:rStyle w:val="Hyperlink"/>
                  <w:b/>
                </w:rPr>
                <w:t xml:space="preserve">Other non-salary housing assistance expenses </w:t>
              </w:r>
            </w:hyperlink>
          </w:p>
          <w:p>
            <w:hyperlink w:tooltip="A population cluster of 1,000 or more people." w:history="true" r:id="Rc54cb6c8219f4e46">
              <w:r>
                <w:rPr>
                  <w:rStyle w:val="Hyperlink"/>
                  <w:b/>
                </w:rPr>
                <w:t xml:space="preserve">Urban Centre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ceaf41f26664db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 AIHW (Australian Institute of Heath and Welfare) 2014. Indigenous Community Housing National Data Collection, Jurisdiction processing and data manual 2014-15.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787e9a01f714870">
                    <w:r>
                      <w:rPr>
                        <w:rStyle w:val="Hyperlink"/>
                      </w:rPr>
                      <w:t xml:space="preserve">Organisation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82d423998a457c">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(Interchange of client information standard). This cluster enables the collection of street name, street number, suburb, postcode and state/territory identifier.</w:t>
                  </w:r>
                </w:p>
                <w:p>
                  <w:r>
                    <w:t xml:space="preserve">Additional items have been provided to describe other common aspects of address, such as building or complex name, post office boxes etc., if required.</w:t>
                  </w:r>
                </w:p>
                <w:p>
                  <w:r>
                    <w:t xml:space="preserve">This collection collected address information in an alternative manner, with a single 40 character alphanumeric field.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51c1fb5491b4063">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3add611e59c4e3e">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bf575159e4f45e1">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81e3684e3c54359">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e1d6860faae4e52">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4bbde5dc30b479c">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1322105b1ec4a76">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fcd2f710c864b77">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7d48cec39514acc">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ef44436c0b046dd">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c89721f16fe4977">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117ae698d8a4f40">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d33bdf8853b47cd">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786f96541854697">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786697a61104515">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c1abbd9ba3541ab">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e877aba9a284a3d">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477cbb120f24a9c">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995d8198e704c51">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497879d93c0484a">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01106f6d3e485d">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3c0f01adc54432">
                    <w:r>
                      <w:rPr>
                        <w:rStyle w:val="Hyperlink"/>
                      </w:rPr>
                      <w:t xml:space="preserve">Service provider organisation—government funding indicator, yes/no code N</w:t>
                    </w:r>
                  </w:hyperlink>
                </w:p>
                <w:p>
                  <w:r>
                    <w:rPr>
                      <w:b/>
                      <w:i/>
                      <w:color w:val="333333"/>
                    </w:rPr>
                    <w:t xml:space="preserve">DSS specific information:</w:t>
                  </w:r>
                </w:p>
                <w:p>
                  <w:r>
                    <w:t xml:space="preserve">In the Indigenous Community Housing (ICH) collection "Unfunded" was recorded as "0". However, in this data element "unfunded" has been recorded as "2" and should be mapped accordingly.</w:t>
                  </w:r>
                </w:p>
                <w:p>
                  <w:r>
                    <w:t xml:space="preserve">For the purposes of this collection 'funded' refers to an organisation that received government funding for the reference financial year, and 'unfunded' refers to an organisation that did not receive funding for the reference financial year.</w:t>
                  </w:r>
                </w:p>
                <w:p>
                  <w: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ced228cac64b26">
                    <w:r>
                      <w:rPr>
                        <w:rStyle w:val="Hyperlink"/>
                      </w:rPr>
                      <w:t xml:space="preserve">Service provider organisation—gross capital expenditure, total Australian currency N[N(8)].NN</w:t>
                    </w:r>
                  </w:hyperlink>
                </w:p>
                <w:p>
                  <w:r>
                    <w:rPr>
                      <w:b/>
                      <w:i/>
                      <w:color w:val="333333"/>
                    </w:rPr>
                    <w:t xml:space="preserve">DSS specific information:</w:t>
                  </w:r>
                </w:p>
                <w:p>
                  <w:r>
                    <w:t xml:space="preserve">In the Indigenous Community Housing (ICH) collection, capital expenditure is defined according to the following parameters:</w:t>
                  </w:r>
                </w:p>
                <w:p>
                  <w:r>
                    <w:rPr>
                      <w:b/>
                    </w:rPr>
                    <w:t xml:space="preserve">Include:</w:t>
                  </w:r>
                </w:p>
                <w:p>
                  <w:pPr>
                    <w:pStyle w:val="ListParagraph"/>
                    <w:numPr>
                      <w:ilvl w:val="0"/>
                      <w:numId w:val="4"/>
                    </w:numPr>
                  </w:pPr>
                  <w: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t xml:space="preserve">        • Total expenditure on purchases of existing dwellings.</w:t>
                  </w:r>
                  <w:r>
                    <w:br/>
                  </w:r>
                  <w:r>
                    <w:t xml:space="preserve">        • Total expenditure on purchases of new non-financial assets:</w:t>
                  </w:r>
                  <w:r>
                    <w:br/>
                  </w:r>
                  <w: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t xml:space="preserve">        • Total expenditure on purchases of second-hand non-financial assets:</w:t>
                  </w:r>
                  <w:r>
                    <w:br/>
                  </w:r>
                  <w:r>
                    <w:t xml:space="preserve">                • The purchase of assets which have been previously used in production in the country.</w:t>
                  </w:r>
                  <w:r>
                    <w:br/>
                  </w:r>
                  <w:r>
                    <w:t xml:space="preserve">        • Total expenditure on sales of non-financial assets:</w:t>
                  </w:r>
                  <w:r>
                    <w:br/>
                  </w:r>
                  <w: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w:t>
                  </w:r>
                  <w:r>
                    <w:br/>
                  </w:r>
                  <w: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w:t>
                  </w:r>
                </w:p>
                <w:p>
                  <w:r>
                    <w:rPr>
                      <w:b/>
                    </w:rPr>
                    <w:t xml:space="preserve">Exclude:</w:t>
                  </w:r>
                </w:p>
                <w:p>
                  <w:pPr>
                    <w:pStyle w:val="ListParagraph"/>
                    <w:numPr>
                      <w:ilvl w:val="0"/>
                      <w:numId w:val="5"/>
                    </w:numPr>
                  </w:pPr>
                  <w:r>
                    <w:t xml:space="preserve">Expenditure on the acquisition of financial assets</w:t>
                  </w:r>
                </w:p>
                <w:p>
                  <w:pPr>
                    <w:pStyle w:val="ListParagraph"/>
                    <w:numPr>
                      <w:ilvl w:val="0"/>
                      <w:numId w:val="5"/>
                    </w:numPr>
                  </w:pPr>
                  <w:r>
                    <w:t xml:space="preserve">Second-hand assets imported into the country for the first time which are regarded as new.</w:t>
                  </w:r>
                </w:p>
                <w:p>
                  <w:pPr>
                    <w:pStyle w:val="ListParagraph"/>
                    <w:numPr>
                      <w:ilvl w:val="0"/>
                      <w:numId w:val="5"/>
                    </w:numPr>
                  </w:pPr>
                  <w:r>
                    <w:t xml:space="preserve">Assets acquired under finance lease arrangements.</w:t>
                  </w:r>
                </w:p>
                <w:p>
                  <w:pPr>
                    <w:pStyle w:val="ListParagraph"/>
                    <w:numPr>
                      <w:ilvl w:val="0"/>
                      <w:numId w:val="5"/>
                    </w:numPr>
                  </w:pPr>
                  <w:r>
                    <w:t xml:space="preserve">From total expenditure on purchases of new non-financial assets:</w:t>
                  </w:r>
                  <w:r>
                    <w:br/>
                  </w:r>
                  <w:r>
                    <w:t xml:space="preserve">        • Capitalised interest;</w:t>
                  </w:r>
                  <w:r>
                    <w:br/>
                  </w:r>
                  <w:r>
                    <w:t xml:space="preserve">        • Houses built for sale; and</w:t>
                  </w:r>
                  <w:r>
                    <w:br/>
                  </w:r>
                  <w:r>
                    <w:t xml:space="preserve">        • Assets acquired under finance lease arrangements.</w:t>
                  </w:r>
                </w:p>
                <w:p>
                  <w:r>
                    <w:t xml:space="preserve"> 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e763d645ab46e9">
                    <w:r>
                      <w:rPr>
                        <w:rStyle w:val="Hyperlink"/>
                      </w:rPr>
                      <w:t xml:space="preserve">Service provider organisation—housing maintenance expenditure, total Australian currency N[N(8)].NN</w:t>
                    </w:r>
                  </w:hyperlink>
                </w:p>
                <w:p>
                  <w:r>
                    <w:rPr>
                      <w:b/>
                      <w:i/>
                      <w:color w:val="333333"/>
                    </w:rPr>
                    <w:t xml:space="preserve">DSS specific information:</w:t>
                  </w:r>
                </w:p>
                <w:p>
                  <w:r>
                    <w:t xml:space="preserve">Unknown dollar values are recorded as "U".</w:t>
                  </w:r>
                </w:p>
                <w:p>
                  <w: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900f0bd3154955">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This data element collects net recurrent costs to the service provider organisation. Net recurrent expenses include all administration and operational costs such as:</w:t>
                  </w:r>
                </w:p>
                <w:p>
                  <w:pPr>
                    <w:pStyle w:val="ListParagraph"/>
                    <w:numPr>
                      <w:ilvl w:val="0"/>
                      <w:numId w:val="6"/>
                    </w:numPr>
                  </w:pPr>
                  <w:r>
                    <w:t xml:space="preserve">employee expenses (e.g. wages and salaries, superannuation, compensation, accrued leave, payroll tax, training)</w:t>
                  </w:r>
                </w:p>
                <w:p>
                  <w:pPr>
                    <w:pStyle w:val="ListParagraph"/>
                    <w:numPr>
                      <w:ilvl w:val="0"/>
                      <w:numId w:val="6"/>
                    </w:numPr>
                  </w:pPr>
                  <w:r>
                    <w:t xml:space="preserve">housing maintenance</w:t>
                  </w:r>
                </w:p>
                <w:p>
                  <w:pPr>
                    <w:pStyle w:val="ListParagraph"/>
                    <w:numPr>
                      <w:ilvl w:val="0"/>
                      <w:numId w:val="6"/>
                    </w:numPr>
                  </w:pPr>
                  <w:r>
                    <w:t xml:space="preserve">property-related expenses (e.g. rates, costs of disposals)</w:t>
                  </w:r>
                </w:p>
                <w:p>
                  <w:pPr>
                    <w:pStyle w:val="ListParagraph"/>
                    <w:numPr>
                      <w:ilvl w:val="0"/>
                      <w:numId w:val="6"/>
                    </w:numPr>
                  </w:pPr>
                  <w:r>
                    <w:t xml:space="preserve">office supplies and services (e.g. stationery, postage, telephone, office equipment, vehicle expenses, insurance)</w:t>
                  </w:r>
                </w:p>
                <w:p>
                  <w:pPr>
                    <w:pStyle w:val="ListParagraph"/>
                    <w:numPr>
                      <w:ilvl w:val="0"/>
                      <w:numId w:val="6"/>
                    </w:numPr>
                  </w:pPr>
                  <w:r>
                    <w:t xml:space="preserve">borrowing costs (e.g. interest)</w:t>
                  </w:r>
                </w:p>
                <w:p>
                  <w:pPr>
                    <w:pStyle w:val="ListParagraph"/>
                    <w:numPr>
                      <w:ilvl w:val="0"/>
                      <w:numId w:val="6"/>
                    </w:numPr>
                  </w:pPr>
                  <w:r>
                    <w:t xml:space="preserve">depreciation and amortisation</w:t>
                  </w:r>
                </w:p>
                <w:p>
                  <w:pPr>
                    <w:pStyle w:val="ListParagraph"/>
                    <w:numPr>
                      <w:ilvl w:val="0"/>
                      <w:numId w:val="6"/>
                    </w:numPr>
                  </w:pPr>
                  <w:r>
                    <w:t xml:space="preserve">other expenses.</w:t>
                  </w:r>
                </w:p>
                <w:p>
                  <w:r>
                    <w:t xml:space="preserve">Net recurrent expenses exclude:</w:t>
                  </w:r>
                </w:p>
                <w:p>
                  <w:pPr>
                    <w:pStyle w:val="ListParagraph"/>
                    <w:numPr>
                      <w:ilvl w:val="0"/>
                      <w:numId w:val="7"/>
                    </w:numPr>
                  </w:pPr>
                  <w:r>
                    <w:t xml:space="preserve">depreciation on rental buildings (on tenancy rental units only, depreciation and amortisation on all other assets to be included)</w:t>
                  </w:r>
                </w:p>
                <w:p>
                  <w:pPr>
                    <w:pStyle w:val="ListParagraph"/>
                    <w:numPr>
                      <w:ilvl w:val="0"/>
                      <w:numId w:val="7"/>
                    </w:numPr>
                  </w:pPr>
                  <w:r>
                    <w:t xml:space="preserve">loss on disposal of assets</w:t>
                  </w:r>
                </w:p>
                <w:p>
                  <w:pPr>
                    <w:pStyle w:val="ListParagraph"/>
                    <w:numPr>
                      <w:ilvl w:val="0"/>
                      <w:numId w:val="7"/>
                    </w:numPr>
                  </w:pPr>
                  <w:r>
                    <w:t xml:space="preserve">loss on revaluation of assets</w:t>
                  </w:r>
                </w:p>
                <w:p>
                  <w:pPr>
                    <w:pStyle w:val="ListParagraph"/>
                    <w:numPr>
                      <w:ilvl w:val="0"/>
                      <w:numId w:val="7"/>
                    </w:numPr>
                  </w:pPr>
                  <w:r>
                    <w:t xml:space="preserve">unrealised losses on financial assets</w:t>
                  </w:r>
                </w:p>
                <w:p>
                  <w:pPr>
                    <w:pStyle w:val="ListParagraph"/>
                    <w:numPr>
                      <w:ilvl w:val="0"/>
                      <w:numId w:val="7"/>
                    </w:numPr>
                  </w:pPr>
                  <w:r>
                    <w:t xml:space="preserve">impairment expenses</w:t>
                  </w:r>
                </w:p>
                <w:p>
                  <w:pPr>
                    <w:pStyle w:val="ListParagraph"/>
                    <w:numPr>
                      <w:ilvl w:val="0"/>
                      <w:numId w:val="7"/>
                    </w:numPr>
                  </w:pPr>
                  <w:r>
                    <w:t xml:space="preserve">assets and services provided free of charge</w:t>
                  </w:r>
                </w:p>
                <w:p>
                  <w:pPr>
                    <w:pStyle w:val="ListParagraph"/>
                    <w:numPr>
                      <w:ilvl w:val="0"/>
                      <w:numId w:val="7"/>
                    </w:numPr>
                  </w:pPr>
                  <w:r>
                    <w:t xml:space="preserve">cost of sale of inventory</w:t>
                  </w:r>
                </w:p>
                <w:p>
                  <w:pPr>
                    <w:pStyle w:val="ListParagraph"/>
                    <w:numPr>
                      <w:ilvl w:val="0"/>
                      <w:numId w:val="7"/>
                    </w:numPr>
                  </w:pPr>
                  <w:r>
                    <w:t xml:space="preserve">recoverable expenses</w:t>
                  </w:r>
                </w:p>
                <w:p>
                  <w:pPr>
                    <w:pStyle w:val="ListParagraph"/>
                    <w:numPr>
                      <w:ilvl w:val="0"/>
                      <w:numId w:val="7"/>
                    </w:numPr>
                  </w:pPr>
                  <w:r>
                    <w:t xml:space="preserve">grants and subsidies.</w:t>
                  </w:r>
                </w:p>
                <w:p>
                  <w:pPr>
                    <w:jc w:val="left"/>
                  </w:pPr>
                  <w:r>
                    <w:t xml:space="preserve">Also excluded are unfunded organisations - ICHOs who received funding in previous financial years (i.e prior to 1 July in the reference year).</w:t>
                  </w:r>
                </w:p>
                <w:p>
                  <w:pPr>
                    <w:jc w:val="left"/>
                  </w:pPr>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57c4b9155348da">
                    <w:r>
                      <w:rPr>
                        <w:rStyle w:val="Hyperlink"/>
                      </w:rPr>
                      <w:t xml:space="preserve">Service provider organisation—number of improvised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4eef4d5b10483a">
                    <w:r>
                      <w:rPr>
                        <w:rStyle w:val="Hyperlink"/>
                      </w:rPr>
                      <w:t xml:space="preserve">Service provider organisation—number of permanent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59900d647548d4">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e7eee719244697">
                    <w:r>
                      <w:rPr>
                        <w:rStyle w:val="Hyperlink"/>
                      </w:rPr>
                      <w:t xml:space="preserve">Service provider organisation—tenancy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53efe739fe40e6">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b304213c344230">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48731378834f08">
                    <w:r>
                      <w:rPr>
                        <w:rStyle w:val="Hyperlink"/>
                      </w:rPr>
                      <w:t xml:space="preserve">Service provider organisation—total recurrent housing expenses, total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d05853372784d7f">
                    <w:r>
                      <w:rPr>
                        <w:rStyle w:val="Hyperlink"/>
                      </w:rPr>
                      <w:t xml:space="preserve">Dwelling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a33d6a93764ab0">
                    <w:r>
                      <w:rPr>
                        <w:rStyle w:val="Hyperlink"/>
                      </w:rPr>
                      <w:t xml:space="preserve">Indigenous 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 etc.</w:t>
                  </w:r>
                </w:p>
                <w:p>
                  <w:r>
                    <w:t xml:space="preserve">Additional items have been provided to describe other common aspects of address, such as building or complex name, post office boxes etc.</w:t>
                  </w:r>
                </w:p>
                <w:p>
                  <w:r>
                    <w:t xml:space="preserve">In the Indigenous Community Housing collection, the dwelling address details were collected in an alternative manner:</w:t>
                  </w:r>
                </w:p>
                <w:p>
                  <w:pPr>
                    <w:pStyle w:val="ListParagraph"/>
                    <w:numPr>
                      <w:ilvl w:val="0"/>
                      <w:numId w:val="8"/>
                    </w:numPr>
                  </w:pPr>
                  <w:r>
                    <w:t xml:space="preserve">House/lot number - 4 numeric characters</w:t>
                  </w:r>
                </w:p>
                <w:p>
                  <w:pPr>
                    <w:pStyle w:val="ListParagraph"/>
                    <w:numPr>
                      <w:ilvl w:val="0"/>
                      <w:numId w:val="8"/>
                    </w:numPr>
                  </w:pPr>
                  <w:r>
                    <w:t xml:space="preserve">Street name - 40 alphanumeric characters</w:t>
                  </w:r>
                </w:p>
                <w:p>
                  <w:pPr>
                    <w:pStyle w:val="ListParagraph"/>
                    <w:numPr>
                      <w:ilvl w:val="0"/>
                      <w:numId w:val="8"/>
                    </w:numPr>
                  </w:pPr>
                  <w:r>
                    <w:t xml:space="preserve">Suburb - 15 alphanumeric characters</w:t>
                  </w:r>
                </w:p>
                <w:p>
                  <w:pPr>
                    <w:pStyle w:val="ListParagraph"/>
                    <w:numPr>
                      <w:ilvl w:val="0"/>
                      <w:numId w:val="8"/>
                    </w:numPr>
                  </w:pPr>
                  <w:r>
                    <w:t xml:space="preserve">Postcode - 4 numeric characters. Unknown values recorded as "U"</w:t>
                  </w:r>
                </w:p>
                <w:p>
                  <w:pPr>
                    <w:pStyle w:val="ListParagraph"/>
                    <w:numPr>
                      <w:ilvl w:val="0"/>
                      <w:numId w:val="8"/>
                    </w:numPr>
                  </w:pPr>
                  <w:r>
                    <w:t xml:space="preserve">Dwelling Longitude - 15 alphanumeric characters. Unknown values recorded as "U"</w:t>
                  </w:r>
                </w:p>
                <w:p>
                  <w:pPr>
                    <w:pStyle w:val="ListParagraph"/>
                    <w:numPr>
                      <w:ilvl w:val="0"/>
                      <w:numId w:val="8"/>
                    </w:numPr>
                  </w:pPr>
                  <w:r>
                    <w:t xml:space="preserve">Dwelling Latitude - 15 alphanumeric characters. Unknown values recorded as "U"</w:t>
                  </w:r>
                </w:p>
                <w:p>
                  <w:pPr>
                    <w:pStyle w:val="ListParagraph"/>
                    <w:numPr>
                      <w:ilvl w:val="0"/>
                      <w:numId w:val="8"/>
                    </w:numPr>
                  </w:pPr>
                  <w:r>
                    <w:t xml:space="preserve">Dwelling remoteness - ASCG codeset and Unknown values recorded as "U"</w:t>
                  </w:r>
                </w:p>
                <w:p>
                  <w:pPr>
                    <w:pStyle w:val="ListParagraph"/>
                    <w:numPr>
                      <w:ilvl w:val="0"/>
                      <w:numId w:val="8"/>
                    </w:numPr>
                  </w:pPr>
                  <w:r>
                    <w:t xml:space="preserve">Dwelling other (location) - 40 alphanumeric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b108ef1ea9a4469">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3252755a5e24fb1">
                    <w:r>
                      <w:rPr>
                        <w:rStyle w:val="Hyperlink"/>
                      </w:rPr>
                      <w:t xml:space="preserve">Address—geocode latitude, decimal degrees XN[N][.N(9)]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c54fb7177424fb0">
                    <w:r>
                      <w:rPr>
                        <w:rStyle w:val="Hyperlink"/>
                      </w:rPr>
                      <w:t xml:space="preserve">Address—geocode longitude, decimal degrees XN[NN][.N(9)]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2df4d13f4414c2c">
                    <w:r>
                      <w:rPr>
                        <w:rStyle w:val="Hyperlink"/>
                      </w:rPr>
                      <w:t xml:space="preserve">Address—location descriptor, text X[X(49)]</w:t>
                    </w:r>
                  </w:hyperlink>
                </w:p>
                <w:p>
                  <w:r>
                    <w:rPr>
                      <w:b/>
                      <w:i/>
                      <w:color w:val="333333"/>
                    </w:rPr>
                    <w:t xml:space="preserve">Conditional obligation:</w:t>
                  </w:r>
                </w:p>
                <w:p>
                  <w:r>
                    <w:t xml:space="preserve">This is conditional on additional information being required for the dwelling address, other than street number, street name, postcode etc.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715c7ec059e4286">
                    <w:r>
                      <w:rPr>
                        <w:rStyle w:val="Hyperlink"/>
                      </w:rPr>
                      <w:t xml:space="preserve">Address—lot number, identifier X[XXXXX]</w:t>
                    </w:r>
                  </w:hyperlink>
                </w:p>
                <w:p>
                  <w:r>
                    <w:rPr>
                      <w:b/>
                      <w:i/>
                      <w:color w:val="333333"/>
                    </w:rPr>
                    <w:t xml:space="preserve">Conditional obligation:</w:t>
                  </w:r>
                </w:p>
                <w:p>
                  <w:r>
                    <w:t xml:space="preserve">This conditional on the dwelling address being a lot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a94bce8907b4dc6">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dbd99bd48a44a94">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5c190ed47a04592">
                    <w:r>
                      <w:rPr>
                        <w:rStyle w:val="Hyperlink"/>
                      </w:rPr>
                      <w:t xml:space="preserve">Address—road number 2, road number XXXXXX</w:t>
                    </w:r>
                  </w:hyperlink>
                </w:p>
                <w:p>
                  <w:r>
                    <w:rPr>
                      <w:b/>
                      <w:i/>
                      <w:color w:val="333333"/>
                    </w:rPr>
                    <w:t xml:space="preserve">Conditional obligation:</w:t>
                  </w:r>
                </w:p>
                <w:p>
                  <w:r>
                    <w:t xml:space="preserve">This is conditional on the road number being a ranged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7a4183d7a774179">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c45febdebfe45b6">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d4e42430e424342">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d17ba4f1450461c">
                    <w:r>
                      <w:rPr>
                        <w:rStyle w:val="Hyperlink"/>
                      </w:rPr>
                      <w:t xml:space="preserve">Dwelling—Australian state/territory identifier, address code AA[A]</w:t>
                    </w:r>
                  </w:hyperlink>
                </w:p>
                <w:p>
                  <w:r>
                    <w:rPr>
                      <w:b/>
                      <w:i/>
                      <w:color w:val="333333"/>
                    </w:rPr>
                    <w:t xml:space="preserve">DSS specific information:</w:t>
                  </w:r>
                </w:p>
                <w:p>
                  <w:r>
                    <w:t xml:space="preserve">The code "AAT" = Australian Antarctic Territory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9cacb1fc83b49a2">
                    <w:r>
                      <w:rPr>
                        <w:rStyle w:val="Hyperlink"/>
                      </w:rPr>
                      <w:t xml:space="preserve">Dwelling—geographic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a3de280a994846">
                    <w:r>
                      <w:rPr>
                        <w:rStyle w:val="Hyperlink"/>
                      </w:rPr>
                      <w:t xml:space="preserve">Indigenous community housing dwelling occupancy status cluster</w:t>
                    </w:r>
                  </w:hyperlink>
                </w:p>
                <w:p>
                  <w:r>
                    <w:rPr>
                      <w:b/>
                      <w:i/>
                      <w:color w:val="333333"/>
                    </w:rPr>
                    <w:t xml:space="preserve">DSS specific information:</w:t>
                  </w:r>
                </w:p>
                <w:p>
                  <w:r>
                    <w:t xml:space="preserve">The current standards for dwelling occupancy and tenantability status have been added to this data set, to align the Indigenous community housing collection with other housing collections.</w:t>
                  </w:r>
                </w:p>
                <w:p>
                  <w:r>
                    <w:t xml:space="preserve">An alternative code set is used by the collection, which accounts for most values in the standard items. The alternative codeset and mapping is as follows:</w:t>
                  </w:r>
                </w:p>
                <w:p>
                  <w:r>
                    <w:t xml:space="preserve"> </w:t>
                  </w:r>
                </w:p>
                <w:p>
                  <w:r>
                    <w:t xml:space="preserve"> </w:t>
                  </w:r>
                </w:p>
                <w:tbl>
                  <w:tblPr>
                    <w:tblStyle w:val="InnerTable"/>
                    <w:tblW w:w="0" w:type="auto"/>
                  </w:tblPr>
                  <w:tblGrid>
                    <w:gridCol/>
                    <w:gridCol/>
                  </w:tblGrid>
                  <w:tr>
                    <w:trPr/>
                    <w:tc>
                      <w:tcPr>
                        <w:vAlign w:val="top"/>
                      </w:tcPr>
                      <w:p>
                        <w:r>
                          <w:rPr>
                            <w:b/>
                          </w:rPr>
                          <w:t xml:space="preserve">ICH label and value</w:t>
                        </w:r>
                      </w:p>
                    </w:tc>
                    <w:tc>
                      <w:tcPr>
                        <w:vAlign w:val="top"/>
                      </w:tcPr>
                      <w:p>
                        <w:r>
                          <w:rPr>
                            <w:b/>
                          </w:rPr>
                          <w:t xml:space="preserve">METeOR standard label and value</w:t>
                        </w:r>
                      </w:p>
                    </w:tc>
                  </w:tr>
                  <w:tr>
                    <w:trPr/>
                    <w:tc>
                      <w:tcPr>
                        <w:vAlign w:val="top"/>
                      </w:tcPr>
                      <w:p>
                        <w:r>
                          <w:t xml:space="preserve">1 = Occupied</w:t>
                        </w:r>
                      </w:p>
                    </w:tc>
                    <w:tc>
                      <w:tcPr>
                        <w:vAlign w:val="top"/>
                      </w:tcPr>
                      <w:p>
                        <w:r>
                          <w:t xml:space="preserve">1 = Yes (Occupied) [Occupancy standard]</w:t>
                        </w:r>
                      </w:p>
                    </w:tc>
                  </w:tr>
                  <w:tr>
                    <w:trPr/>
                    <w:tc>
                      <w:tcPr>
                        <w:vAlign w:val="top"/>
                      </w:tcPr>
                      <w:p>
                        <w:r>
                          <w:t xml:space="preserve">2 = Untentantable</w:t>
                        </w:r>
                      </w:p>
                    </w:tc>
                    <w:tc>
                      <w:tcPr>
                        <w:vAlign w:val="top"/>
                      </w:tcPr>
                      <w:p>
                        <w:r>
                          <w:t xml:space="preserve">2 = No (Untenantable) [Tenantability standard]</w:t>
                        </w:r>
                      </w:p>
                    </w:tc>
                  </w:tr>
                  <w:tr>
                    <w:trPr/>
                    <w:tc>
                      <w:tcPr>
                        <w:vAlign w:val="top"/>
                      </w:tcPr>
                      <w:p>
                        <w:r>
                          <w:t xml:space="preserve">0 = Unoccupied</w:t>
                        </w:r>
                      </w:p>
                    </w:tc>
                    <w:tc>
                      <w:tcPr>
                        <w:vAlign w:val="top"/>
                      </w:tcPr>
                      <w:p>
                        <w:r>
                          <w:t xml:space="preserve">2 = No (Not Occupied) [Occupancy standard]</w:t>
                        </w:r>
                      </w:p>
                    </w:tc>
                  </w:tr>
                  <w:tr>
                    <w:trPr/>
                    <w:tc>
                      <w:tcPr>
                        <w:vAlign w:val="top"/>
                      </w:tcPr>
                      <w:p>
                        <w:r>
                          <w:t xml:space="preserve">N/A</w:t>
                        </w:r>
                      </w:p>
                    </w:tc>
                    <w:tc>
                      <w:tcPr>
                        <w:vAlign w:val="top"/>
                      </w:tcPr>
                      <w:p>
                        <w:r>
                          <w:t xml:space="preserve">1 = Yes (Tenantable) [Tenantability standard]</w:t>
                        </w:r>
                      </w:p>
                    </w:tc>
                  </w:tr>
                  <w:tr>
                    <w:trPr/>
                    <w:tc>
                      <w:tcPr>
                        <w:vAlign w:val="top"/>
                      </w:tcPr>
                      <w:p>
                        <w:r>
                          <w:t xml:space="preserve">U = Unknown</w:t>
                        </w:r>
                      </w:p>
                    </w:tc>
                    <w:tc>
                      <w:tcPr>
                        <w:vAlign w:val="top"/>
                      </w:tcPr>
                      <w:p>
                        <w:r>
                          <w:t xml:space="preserve">9 = Not stated/Inadequately described [Occupancy and Tenantability standards]</w:t>
                        </w:r>
                      </w:p>
                    </w:tc>
                  </w:tr>
                </w:tbl>
                <w:p>
                  <w:r>
                    <w:t xml:space="preserve">The Indigenous community housing code set excludes the collection of dwellings which are 'tenantable'. Dwellings identified as unoccupied according to the ICH data manual, should by default be considered tenantable. Dwellings identified as occupied according to the ICH data manual, may or may not be considered 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8f217b19bee4d63">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c0eee718e35473f">
                    <w:r>
                      <w:rPr>
                        <w:rStyle w:val="Hyperlink"/>
                      </w:rPr>
                      <w:t xml:space="preserve">Dwelling—tenantability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090b31bfb043c2">
                    <w:r>
                      <w:rPr>
                        <w:rStyle w:val="Hyperlink"/>
                      </w:rPr>
                      <w:t xml:space="preserve">Dwelling—number of bedrooms, total N[NN]</w:t>
                    </w:r>
                  </w:hyperlink>
                </w:p>
                <w:p>
                  <w:r>
                    <w:rPr>
                      <w:b/>
                      <w:i/>
                      <w:color w:val="333333"/>
                    </w:rPr>
                    <w:t xml:space="preserve">DSS specific information:</w:t>
                  </w:r>
                </w:p>
                <w:p>
                  <w:r>
                    <w:t xml:space="preserve">Unknown values (code = "U") should be mapped to Not stated/Inadequately described (code = "999").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096c332a7845f2">
                    <w:r>
                      <w:rPr>
                        <w:rStyle w:val="Hyperlink"/>
                      </w:rPr>
                      <w:t xml:space="preserve">Dwelling—number of households,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717773f3cb44c8">
                    <w:r>
                      <w:rPr>
                        <w:rStyle w:val="Hyperlink"/>
                      </w:rPr>
                      <w:t xml:space="preserve">Dwelling—number of occupants,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1a4616f49f47b7">
                    <w:r>
                      <w:rPr>
                        <w:rStyle w:val="Hyperlink"/>
                      </w:rPr>
                      <w:t xml:space="preserve">Dwelling—permanency status, code N</w:t>
                    </w:r>
                  </w:hyperlink>
                </w:p>
                <w:p>
                  <w:r>
                    <w:rPr>
                      <w:b/>
                      <w:i/>
                      <w:color w:val="333333"/>
                    </w:rPr>
                    <w:t xml:space="preserve">DSS specific information:</w:t>
                  </w:r>
                </w:p>
                <w:p>
                  <w:r>
                    <w:t xml:space="preserve">This collection uses an alternate code set. These codes should be mapped as follows:</w:t>
                  </w:r>
                </w:p>
                <w:p>
                  <w:r>
                    <w:t xml:space="preserve">ICH code 1 ("Permanent") = METeOR value 1 ("Yes")</w:t>
                  </w:r>
                </w:p>
                <w:p>
                  <w:r>
                    <w:t xml:space="preserve">ICH code 0 ("Improvised") = METeOR value 2 ("No")</w:t>
                  </w:r>
                </w:p>
                <w:p>
                  <w:r>
                    <w:t xml:space="preserve">ICH code U ("Unknown") = METeOR value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87b66e85bd4ac7">
                    <w:r>
                      <w:rPr>
                        <w:rStyle w:val="Hyperlink"/>
                      </w:rPr>
                      <w:t xml:space="preserve">Dwelling—tenancy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169ea28eaa4d5e">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6f7ac2968e4082">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21c0e16288543f0">
                    <w:r>
                      <w:rPr>
                        <w:rStyle w:val="Hyperlink"/>
                      </w:rPr>
                      <w:t xml:space="preserve">Household file cluster (Indigenous community housing)</w:t>
                    </w:r>
                  </w:hyperlink>
                </w:p>
                <w:p>
                  <w:r>
                    <w:rPr>
                      <w:b/>
                      <w:i/>
                      <w:color w:val="333333"/>
                    </w:rPr>
                    <w:t xml:space="preserve">Conditional obligation:</w:t>
                  </w:r>
                </w:p>
                <w:p>
                  <w:r>
                    <w:t xml:space="preserve">This is conditional on a household occupying the dwelling.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8516253fc24b72">
                    <w:r>
                      <w:rPr>
                        <w:rStyle w:val="Hyperlink"/>
                      </w:rPr>
                      <w:t xml:space="preserve">Relationship in household cluster (Indigenous community housing)</w:t>
                    </w:r>
                  </w:hyperlink>
                </w:p>
                <w:p>
                  <w:r>
                    <w:rPr>
                      <w:b/>
                      <w:i/>
                      <w:color w:val="333333"/>
                    </w:rPr>
                    <w:t xml:space="preserve">DSS specific information:</w:t>
                  </w:r>
                </w:p>
                <w:p>
                  <w:r>
                    <w:t xml:space="preserve">In this collection the information for the two data elements in this cluster is collected as a single item with the values 'Single', 'Couple' and 'Child', plus 'U' representing 'Unknown.' These values should be mapped as follows:</w:t>
                  </w:r>
                </w:p>
                <w:p>
                  <w:r>
                    <w:t xml:space="preserve">Single: Child indicator = '2' ('No'); Single/couple status = '1' ('Single status OR couple relationship with non-household member').</w:t>
                  </w:r>
                </w:p>
                <w:p>
                  <w:r>
                    <w:t xml:space="preserve">Couple: Child indicator = '2' ('No'); Single/couple status = '2' ('Couple relationship with another household member (de facto or married)').</w:t>
                  </w:r>
                </w:p>
                <w:p>
                  <w:r>
                    <w:t xml:space="preserve">Child: Child indicator = '1' ('Yes'); Single/couple status = '1' ('Single status OR couple relationship with non-household member').</w:t>
                  </w:r>
                </w:p>
                <w:p>
                  <w:r>
                    <w:t xml:space="preserve">U ('Unknown'): Child indicator = '9' ('Not stated/inadequately described'); Single/couple status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be14f1def4e49ed">
                    <w:r>
                      <w:rPr>
                        <w:rStyle w:val="Hyperlink"/>
                      </w:rPr>
                      <w:t xml:space="preserve">Person—child indicator,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7a62baddd5c4e12">
                    <w:r>
                      <w:rPr>
                        <w:rStyle w:val="Hyperlink"/>
                      </w:rPr>
                      <w:t xml:space="preserve">Person—household single/couple status,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b5fa6e0d504050">
                    <w:r>
                      <w:rPr>
                        <w:rStyle w:val="Hyperlink"/>
                      </w:rPr>
                      <w:t xml:space="preserve">Person—date of birth, DDMMYYYY</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666ed2dcc7429b">
                    <w:r>
                      <w:rPr>
                        <w:rStyle w:val="Hyperlink"/>
                      </w:rPr>
                      <w:t xml:space="preserve">Person—sex, code N</w:t>
                    </w:r>
                  </w:hyperlink>
                </w:p>
                <w:p>
                  <w:r>
                    <w:rPr>
                      <w:b/>
                      <w:i/>
                      <w:color w:val="333333"/>
                    </w:rPr>
                    <w:t xml:space="preserve">DSS specific information:</w:t>
                  </w:r>
                </w:p>
                <w:p>
                  <w:r>
                    <w:t xml:space="preserve">This collection uses the alternate code set “M” = “Male”, “F” = “Female” and “U” = “Unknown”. These codes should be mapped as follows:</w:t>
                  </w:r>
                </w:p>
                <w:p>
                  <w:r>
                    <w:t xml:space="preserve">M = 1 (“Male”)</w:t>
                  </w:r>
                </w:p>
                <w:p>
                  <w:r>
                    <w:t xml:space="preserve">F = 2 (“Female”)</w:t>
                  </w:r>
                </w:p>
                <w:p>
                  <w:r>
                    <w:t xml:space="preserve">U = 9 (“Not stated/Inadequately described”).</w:t>
                  </w:r>
                </w:p>
                <w:p>
                  <w:r>
                    <w:t xml:space="preserve">Code 3 (“Intersex”) is not used in this collection.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30565421a648e0">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ea20f2f8b04431">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f66f33b48e4b30">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11a21894fe4b54">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b77819deebc348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638559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0e81a6affa45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7819deebc348d5" /><Relationship Type="http://schemas.openxmlformats.org/officeDocument/2006/relationships/header" Target="/word/header1.xml" Id="R73c4e43f71564bb4" /><Relationship Type="http://schemas.openxmlformats.org/officeDocument/2006/relationships/settings" Target="/word/settings.xml" Id="R673addb8b2d84ad0" /><Relationship Type="http://schemas.openxmlformats.org/officeDocument/2006/relationships/styles" Target="/word/styles.xml" Id="R5913527130f74775" /><Relationship Type="http://schemas.openxmlformats.org/officeDocument/2006/relationships/numbering" Target="/word/numbering.xml" Id="R5e21b8b85f7e4100" /><Relationship Type="http://schemas.openxmlformats.org/officeDocument/2006/relationships/hyperlink" Target="https://meteor-uat.aihw.gov.au/RegistrationAuthority/13" TargetMode="External" Id="R3162743e723d490b" /><Relationship Type="http://schemas.openxmlformats.org/officeDocument/2006/relationships/hyperlink" Target="https://meteor-uat.aihw.gov.au/content/268982" TargetMode="External" Id="R67ccb8d224774d88" /><Relationship Type="http://schemas.openxmlformats.org/officeDocument/2006/relationships/hyperlink" Target="https://meteor-uat.aihw.gov.au/content/268977" TargetMode="External" Id="R0e94de4e8a254a00" /><Relationship Type="http://schemas.openxmlformats.org/officeDocument/2006/relationships/hyperlink" Target="https://meteor-uat.aihw.gov.au/content/327408" TargetMode="External" Id="Rbb80207e6c4b4b66" /><Relationship Type="http://schemas.openxmlformats.org/officeDocument/2006/relationships/hyperlink" Target="https://meteor-uat.aihw.gov.au/content/327410" TargetMode="External" Id="Rfcf6a21b67094b22" /><Relationship Type="http://schemas.openxmlformats.org/officeDocument/2006/relationships/hyperlink" Target="https://meteor-uat.aihw.gov.au/content/327412" TargetMode="External" Id="Raae82445a213466f" /><Relationship Type="http://schemas.openxmlformats.org/officeDocument/2006/relationships/hyperlink" Target="https://meteor-uat.aihw.gov.au/content/386254" TargetMode="External" Id="R6622a16049604570" /><Relationship Type="http://schemas.openxmlformats.org/officeDocument/2006/relationships/hyperlink" Target="https://meteor-uat.aihw.gov.au/content/327306" TargetMode="External" Id="R42c91c2f8b8341da" /><Relationship Type="http://schemas.openxmlformats.org/officeDocument/2006/relationships/hyperlink" Target="https://meteor-uat.aihw.gov.au/content/465183" TargetMode="External" Id="R8d6c50f6cd2c4e06" /><Relationship Type="http://schemas.openxmlformats.org/officeDocument/2006/relationships/hyperlink" Target="https://meteor-uat.aihw.gov.au/content/497114" TargetMode="External" Id="R989988b79bb24fff" /><Relationship Type="http://schemas.openxmlformats.org/officeDocument/2006/relationships/hyperlink" Target="https://meteor-uat.aihw.gov.au/content/327196" TargetMode="External" Id="R3ccfb75b406c4936" /><Relationship Type="http://schemas.openxmlformats.org/officeDocument/2006/relationships/hyperlink" Target="https://meteor-uat.aihw.gov.au/content/497112" TargetMode="External" Id="R5c5009a329a84c1d" /><Relationship Type="http://schemas.openxmlformats.org/officeDocument/2006/relationships/hyperlink" Target="https://meteor-uat.aihw.gov.au/content/467399" TargetMode="External" Id="Rc54cb6c8219f4e46" /><Relationship Type="http://schemas.openxmlformats.org/officeDocument/2006/relationships/hyperlink" Target="https://meteor-uat.aihw.gov.au/content/246013" TargetMode="External" Id="Rdceaf41f26664db9" /><Relationship Type="http://schemas.openxmlformats.org/officeDocument/2006/relationships/hyperlink" Target="https://meteor-uat.aihw.gov.au/content/605352" TargetMode="External" Id="Rc787e9a01f714870" /><Relationship Type="http://schemas.openxmlformats.org/officeDocument/2006/relationships/hyperlink" Target="https://meteor-uat.aihw.gov.au/content/497755" TargetMode="External" Id="R1282d423998a457c" /><Relationship Type="http://schemas.openxmlformats.org/officeDocument/2006/relationships/hyperlink" Target="https://meteor-uat.aihw.gov.au/content/429252" TargetMode="External" Id="Re51c1fb5491b4063" /><Relationship Type="http://schemas.openxmlformats.org/officeDocument/2006/relationships/hyperlink" Target="https://meteor-uat.aihw.gov.au/content/429894" TargetMode="External" Id="R53add611e59c4e3e" /><Relationship Type="http://schemas.openxmlformats.org/officeDocument/2006/relationships/hyperlink" Target="https://meteor-uat.aihw.gov.au/content/429376" TargetMode="External" Id="R1bf575159e4f45e1" /><Relationship Type="http://schemas.openxmlformats.org/officeDocument/2006/relationships/hyperlink" Target="https://meteor-uat.aihw.gov.au/content/429268" TargetMode="External" Id="R981e3684e3c54359" /><Relationship Type="http://schemas.openxmlformats.org/officeDocument/2006/relationships/hyperlink" Target="https://meteor-uat.aihw.gov.au/content/429264" TargetMode="External" Id="R3e1d6860faae4e52" /><Relationship Type="http://schemas.openxmlformats.org/officeDocument/2006/relationships/hyperlink" Target="https://meteor-uat.aihw.gov.au/content/429387" TargetMode="External" Id="Rc4bbde5dc30b479c" /><Relationship Type="http://schemas.openxmlformats.org/officeDocument/2006/relationships/hyperlink" Target="https://meteor-uat.aihw.gov.au/content/429068" TargetMode="External" Id="Re1322105b1ec4a76" /><Relationship Type="http://schemas.openxmlformats.org/officeDocument/2006/relationships/hyperlink" Target="https://meteor-uat.aihw.gov.au/content/429543" TargetMode="External" Id="R8fcd2f710c864b77" /><Relationship Type="http://schemas.openxmlformats.org/officeDocument/2006/relationships/hyperlink" Target="https://meteor-uat.aihw.gov.au/content/428950" TargetMode="External" Id="R97d48cec39514acc" /><Relationship Type="http://schemas.openxmlformats.org/officeDocument/2006/relationships/hyperlink" Target="https://meteor-uat.aihw.gov.au/content/430107" TargetMode="External" Id="R9ef44436c0b046dd" /><Relationship Type="http://schemas.openxmlformats.org/officeDocument/2006/relationships/hyperlink" Target="https://meteor-uat.aihw.gov.au/content/430096" TargetMode="External" Id="R8c89721f16fe4977" /><Relationship Type="http://schemas.openxmlformats.org/officeDocument/2006/relationships/hyperlink" Target="https://meteor-uat.aihw.gov.au/content/429747" TargetMode="External" Id="Rd117ae698d8a4f40" /><Relationship Type="http://schemas.openxmlformats.org/officeDocument/2006/relationships/hyperlink" Target="https://meteor-uat.aihw.gov.au/content/429586" TargetMode="External" Id="Rdd33bdf8853b47cd" /><Relationship Type="http://schemas.openxmlformats.org/officeDocument/2006/relationships/hyperlink" Target="https://meteor-uat.aihw.gov.au/content/429594" TargetMode="External" Id="Re786f96541854697" /><Relationship Type="http://schemas.openxmlformats.org/officeDocument/2006/relationships/hyperlink" Target="https://meteor-uat.aihw.gov.au/content/429840" TargetMode="External" Id="R8786697a61104515" /><Relationship Type="http://schemas.openxmlformats.org/officeDocument/2006/relationships/hyperlink" Target="https://meteor-uat.aihw.gov.au/content/429404" TargetMode="External" Id="R3c1abbd9ba3541ab" /><Relationship Type="http://schemas.openxmlformats.org/officeDocument/2006/relationships/hyperlink" Target="https://meteor-uat.aihw.gov.au/content/429012" TargetMode="External" Id="R0e877aba9a284a3d" /><Relationship Type="http://schemas.openxmlformats.org/officeDocument/2006/relationships/hyperlink" Target="https://meteor-uat.aihw.gov.au/content/429889" TargetMode="External" Id="R0477cbb120f24a9c" /><Relationship Type="http://schemas.openxmlformats.org/officeDocument/2006/relationships/hyperlink" Target="https://meteor-uat.aihw.gov.au/content/430158" TargetMode="External" Id="Ra995d8198e704c51" /><Relationship Type="http://schemas.openxmlformats.org/officeDocument/2006/relationships/hyperlink" Target="https://meteor-uat.aihw.gov.au/content/289083" TargetMode="External" Id="Rc497879d93c0484a" /><Relationship Type="http://schemas.openxmlformats.org/officeDocument/2006/relationships/hyperlink" Target="https://meteor-uat.aihw.gov.au/content/461595" TargetMode="External" Id="R5e01106f6d3e485d" /><Relationship Type="http://schemas.openxmlformats.org/officeDocument/2006/relationships/hyperlink" Target="https://meteor-uat.aihw.gov.au/content/388518" TargetMode="External" Id="R693c0f01adc54432" /><Relationship Type="http://schemas.openxmlformats.org/officeDocument/2006/relationships/hyperlink" Target="https://meteor-uat.aihw.gov.au/content/461534" TargetMode="External" Id="R38ced228cac64b26" /><Relationship Type="http://schemas.openxmlformats.org/officeDocument/2006/relationships/hyperlink" Target="https://meteor-uat.aihw.gov.au/content/464813" TargetMode="External" Id="R6ae763d645ab46e9" /><Relationship Type="http://schemas.openxmlformats.org/officeDocument/2006/relationships/hyperlink" Target="https://meteor-uat.aihw.gov.au/content/464818" TargetMode="External" Id="R81900f0bd3154955" /><Relationship Type="http://schemas.openxmlformats.org/officeDocument/2006/relationships/hyperlink" Target="https://meteor-uat.aihw.gov.au/content/479695" TargetMode="External" Id="Re957c4b9155348da" /><Relationship Type="http://schemas.openxmlformats.org/officeDocument/2006/relationships/hyperlink" Target="https://meteor-uat.aihw.gov.au/content/479675" TargetMode="External" Id="Rc54eef4d5b10483a" /><Relationship Type="http://schemas.openxmlformats.org/officeDocument/2006/relationships/hyperlink" Target="https://meteor-uat.aihw.gov.au/content/414987" TargetMode="External" Id="R4b59900d647548d4" /><Relationship Type="http://schemas.openxmlformats.org/officeDocument/2006/relationships/hyperlink" Target="https://meteor-uat.aihw.gov.au/content/492818" TargetMode="External" Id="R8de7eee719244697" /><Relationship Type="http://schemas.openxmlformats.org/officeDocument/2006/relationships/hyperlink" Target="https://meteor-uat.aihw.gov.au/content/608435" TargetMode="External" Id="Rcd53efe739fe40e6" /><Relationship Type="http://schemas.openxmlformats.org/officeDocument/2006/relationships/hyperlink" Target="https://meteor-uat.aihw.gov.au/content/608442" TargetMode="External" Id="R67b304213c344230" /><Relationship Type="http://schemas.openxmlformats.org/officeDocument/2006/relationships/hyperlink" Target="https://meteor-uat.aihw.gov.au/content/464844" TargetMode="External" Id="Rff48731378834f08" /><Relationship Type="http://schemas.openxmlformats.org/officeDocument/2006/relationships/hyperlink" Target="https://meteor-uat.aihw.gov.au/content/605354" TargetMode="External" Id="R7d05853372784d7f" /><Relationship Type="http://schemas.openxmlformats.org/officeDocument/2006/relationships/hyperlink" Target="https://meteor-uat.aihw.gov.au/content/614161" TargetMode="External" Id="R85a33d6a93764ab0" /><Relationship Type="http://schemas.openxmlformats.org/officeDocument/2006/relationships/hyperlink" Target="https://meteor-uat.aihw.gov.au/content/429894" TargetMode="External" Id="Rfb108ef1ea9a4469" /><Relationship Type="http://schemas.openxmlformats.org/officeDocument/2006/relationships/hyperlink" Target="https://meteor-uat.aihw.gov.au/content/430445" TargetMode="External" Id="Ra3252755a5e24fb1" /><Relationship Type="http://schemas.openxmlformats.org/officeDocument/2006/relationships/hyperlink" Target="https://meteor-uat.aihw.gov.au/content/430469" TargetMode="External" Id="R4c54fb7177424fb0" /><Relationship Type="http://schemas.openxmlformats.org/officeDocument/2006/relationships/hyperlink" Target="https://meteor-uat.aihw.gov.au/content/430302" TargetMode="External" Id="R32df4d13f4414c2c" /><Relationship Type="http://schemas.openxmlformats.org/officeDocument/2006/relationships/hyperlink" Target="https://meteor-uat.aihw.gov.au/content/429543" TargetMode="External" Id="R2715c7ec059e4286" /><Relationship Type="http://schemas.openxmlformats.org/officeDocument/2006/relationships/hyperlink" Target="https://meteor-uat.aihw.gov.au/content/429747" TargetMode="External" Id="R5a94bce8907b4dc6" /><Relationship Type="http://schemas.openxmlformats.org/officeDocument/2006/relationships/hyperlink" Target="https://meteor-uat.aihw.gov.au/content/429586" TargetMode="External" Id="Rcdbd99bd48a44a94" /><Relationship Type="http://schemas.openxmlformats.org/officeDocument/2006/relationships/hyperlink" Target="https://meteor-uat.aihw.gov.au/content/429594" TargetMode="External" Id="R15c190ed47a04592" /><Relationship Type="http://schemas.openxmlformats.org/officeDocument/2006/relationships/hyperlink" Target="https://meteor-uat.aihw.gov.au/content/429840" TargetMode="External" Id="Re7a4183d7a774179" /><Relationship Type="http://schemas.openxmlformats.org/officeDocument/2006/relationships/hyperlink" Target="https://meteor-uat.aihw.gov.au/content/429889" TargetMode="External" Id="R9c45febdebfe45b6" /><Relationship Type="http://schemas.openxmlformats.org/officeDocument/2006/relationships/hyperlink" Target="https://meteor-uat.aihw.gov.au/content/430158" TargetMode="External" Id="Rfd4e42430e424342" /><Relationship Type="http://schemas.openxmlformats.org/officeDocument/2006/relationships/hyperlink" Target="https://meteor-uat.aihw.gov.au/content/611726" TargetMode="External" Id="R8d17ba4f1450461c" /><Relationship Type="http://schemas.openxmlformats.org/officeDocument/2006/relationships/hyperlink" Target="https://meteor-uat.aihw.gov.au/content/662970" TargetMode="External" Id="R89cacb1fc83b49a2" /><Relationship Type="http://schemas.openxmlformats.org/officeDocument/2006/relationships/hyperlink" Target="https://meteor-uat.aihw.gov.au/content/609066" TargetMode="External" Id="Rb3a3de280a994846" /><Relationship Type="http://schemas.openxmlformats.org/officeDocument/2006/relationships/hyperlink" Target="https://meteor-uat.aihw.gov.au/content/607865" TargetMode="External" Id="Rd8f217b19bee4d63" /><Relationship Type="http://schemas.openxmlformats.org/officeDocument/2006/relationships/hyperlink" Target="https://meteor-uat.aihw.gov.au/content/663114" TargetMode="External" Id="R1c0eee718e35473f" /><Relationship Type="http://schemas.openxmlformats.org/officeDocument/2006/relationships/hyperlink" Target="https://meteor-uat.aihw.gov.au/content/608497" TargetMode="External" Id="R63090b31bfb043c2" /><Relationship Type="http://schemas.openxmlformats.org/officeDocument/2006/relationships/hyperlink" Target="https://meteor-uat.aihw.gov.au/content/663045" TargetMode="External" Id="Re6096c332a7845f2" /><Relationship Type="http://schemas.openxmlformats.org/officeDocument/2006/relationships/hyperlink" Target="https://meteor-uat.aihw.gov.au/content/663054" TargetMode="External" Id="Rce717773f3cb44c8" /><Relationship Type="http://schemas.openxmlformats.org/officeDocument/2006/relationships/hyperlink" Target="https://meteor-uat.aihw.gov.au/content/662982" TargetMode="External" Id="Rdf1a4616f49f47b7" /><Relationship Type="http://schemas.openxmlformats.org/officeDocument/2006/relationships/hyperlink" Target="https://meteor-uat.aihw.gov.au/content/663022" TargetMode="External" Id="Rf387b66e85bd4ac7" /><Relationship Type="http://schemas.openxmlformats.org/officeDocument/2006/relationships/hyperlink" Target="https://meteor-uat.aihw.gov.au/content/662949" TargetMode="External" Id="R14169ea28eaa4d5e" /><Relationship Type="http://schemas.openxmlformats.org/officeDocument/2006/relationships/hyperlink" Target="https://meteor-uat.aihw.gov.au/content/414987" TargetMode="External" Id="R456f7ac2968e4082" /><Relationship Type="http://schemas.openxmlformats.org/officeDocument/2006/relationships/hyperlink" Target="https://meteor-uat.aihw.gov.au/content/605356" TargetMode="External" Id="Ra21c0e16288543f0" /><Relationship Type="http://schemas.openxmlformats.org/officeDocument/2006/relationships/hyperlink" Target="https://meteor-uat.aihw.gov.au/content/608500" TargetMode="External" Id="R958516253fc24b72" /><Relationship Type="http://schemas.openxmlformats.org/officeDocument/2006/relationships/hyperlink" Target="https://meteor-uat.aihw.gov.au/content/491672" TargetMode="External" Id="R3be14f1def4e49ed" /><Relationship Type="http://schemas.openxmlformats.org/officeDocument/2006/relationships/hyperlink" Target="https://meteor-uat.aihw.gov.au/content/608109" TargetMode="External" Id="R07a62baddd5c4e12" /><Relationship Type="http://schemas.openxmlformats.org/officeDocument/2006/relationships/hyperlink" Target="https://meteor-uat.aihw.gov.au/content/287007" TargetMode="External" Id="R81b5fa6e0d504050" /><Relationship Type="http://schemas.openxmlformats.org/officeDocument/2006/relationships/hyperlink" Target="https://meteor-uat.aihw.gov.au/content/287316" TargetMode="External" Id="R62666ed2dcc7429b" /><Relationship Type="http://schemas.openxmlformats.org/officeDocument/2006/relationships/hyperlink" Target="https://meteor-uat.aihw.gov.au/content/662949" TargetMode="External" Id="Ra830565421a648e0" /><Relationship Type="http://schemas.openxmlformats.org/officeDocument/2006/relationships/hyperlink" Target="https://meteor-uat.aihw.gov.au/content/607886" TargetMode="External" Id="R38ea20f2f8b04431" /><Relationship Type="http://schemas.openxmlformats.org/officeDocument/2006/relationships/hyperlink" Target="https://meteor-uat.aihw.gov.au/content/414987" TargetMode="External" Id="R17f66f33b48e4b30" /><Relationship Type="http://schemas.openxmlformats.org/officeDocument/2006/relationships/hyperlink" Target="https://meteor-uat.aihw.gov.au/content/608082" TargetMode="External" Id="R5911a21894fe4b54" /></Relationships>
</file>

<file path=word/_rels/header1.xml.rels>&#65279;<?xml version="1.0" encoding="utf-8"?><Relationships xmlns="http://schemas.openxmlformats.org/package/2006/relationships"><Relationship Type="http://schemas.openxmlformats.org/officeDocument/2006/relationships/image" Target="/media/image.png" Id="Rc50e81a6affa4561" /></Relationships>
</file>