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bd955ed75f4db0"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7115d580740cd">
              <w:r>
                <w:rPr>
                  <w:rStyle w:val="Hyperlink"/>
                  <w:color w:val="244061"/>
                </w:rPr>
                <w:t xml:space="preserve">AIHW Data Quality Statements</w:t>
              </w:r>
            </w:hyperlink>
            <w:r>
              <w:rPr>
                <w:rStyle w:val="row-content"/>
                <w:color w:val="244061"/>
              </w:rPr>
              <w:t xml:space="preserve">, Standard 21/04/2016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was the main data source for this report.</w:t>
            </w:r>
          </w:p>
          <w:p>
            <w:pPr>
              <w:pStyle w:val="ListParagraph"/>
              <w:numPr>
                <w:ilvl w:val="0"/>
                <w:numId w:val="2"/>
              </w:numPr>
            </w:pPr>
            <w:r>
              <w:rPr>
                <w:rStyle w:val="row-content-rich-text"/>
              </w:rPr>
              <w:t xml:space="preserve">The CP NMDS contains information on: </w:t>
            </w:r>
          </w:p>
          <w:p>
            <w:pPr>
              <w:spacing w:after="160"/>
            </w:pPr>
            <w:r>
              <w:rPr>
                <w:rStyle w:val="row-content-rich-text"/>
              </w:rPr>
              <w:t xml:space="preserve">–</w:t>
            </w:r>
            <w:r>
              <w:rPr>
                <w:rStyle w:val="row-content-rich-text"/>
              </w:rPr>
              <w:t xml:space="preserve">          </w:t>
            </w:r>
            <w:r>
              <w:rPr>
                <w:rStyle w:val="row-content-rich-text"/>
              </w:rPr>
              <w:t xml:space="preserve">notifications, investigations and substantiations</w:t>
            </w:r>
          </w:p>
          <w:p>
            <w:pPr>
              <w:spacing w:after="160"/>
            </w:pPr>
            <w:r>
              <w:rPr>
                <w:rStyle w:val="row-content-rich-text"/>
              </w:rPr>
              <w:t xml:space="preserve">–</w:t>
            </w:r>
            <w:r>
              <w:rPr>
                <w:rStyle w:val="row-content-rich-text"/>
              </w:rPr>
              <w:t xml:space="preserve">          </w:t>
            </w:r>
            <w:r>
              <w:rPr>
                <w:rStyle w:val="row-content-rich-text"/>
              </w:rPr>
              <w:t xml:space="preserve">care and protection orders</w:t>
            </w:r>
          </w:p>
          <w:p>
            <w:pPr>
              <w:spacing w:after="160"/>
            </w:pPr>
            <w:r>
              <w:rPr>
                <w:rStyle w:val="row-content-rich-text"/>
              </w:rPr>
              <w:t xml:space="preserve">–</w:t>
            </w:r>
            <w:r>
              <w:rPr>
                <w:rStyle w:val="row-content-rich-text"/>
              </w:rPr>
              <w:t xml:space="preserve">          </w:t>
            </w:r>
            <w:r>
              <w:rPr>
                <w:rStyle w:val="row-content-rich-text"/>
              </w:rPr>
              <w:t xml:space="preserve">out-of-home care</w:t>
            </w:r>
          </w:p>
          <w:p>
            <w:pPr>
              <w:spacing w:after="160"/>
            </w:pPr>
            <w:r>
              <w:rPr>
                <w:rStyle w:val="row-content-rich-text"/>
              </w:rPr>
              <w:t xml:space="preserve">–</w:t>
            </w:r>
            <w:r>
              <w:rPr>
                <w:rStyle w:val="row-content-rich-text"/>
              </w:rPr>
              <w:t xml:space="preserve">          </w:t>
            </w:r>
            <w:r>
              <w:rPr>
                <w:rStyle w:val="row-content-rich-text"/>
              </w:rPr>
              <w:t xml:space="preserve">foster carers</w:t>
            </w:r>
          </w:p>
          <w:p>
            <w:pPr>
              <w:spacing w:after="160"/>
            </w:pPr>
            <w:r>
              <w:rPr>
                <w:rStyle w:val="row-content-rich-text"/>
              </w:rPr>
              <w:t xml:space="preserve">–</w:t>
            </w:r>
            <w:r>
              <w:rPr>
                <w:rStyle w:val="row-content-rich-text"/>
              </w:rPr>
              <w:t xml:space="preserve">          </w:t>
            </w:r>
            <w:r>
              <w:rPr>
                <w:rStyle w:val="row-content-rich-text"/>
              </w:rPr>
              <w:t xml:space="preserve">relative/kinship carers.</w:t>
            </w:r>
          </w:p>
          <w:p>
            <w:pPr>
              <w:spacing w:after="160"/>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w:t>
            </w:r>
          </w:p>
          <w:p>
            <w:pPr>
              <w:pStyle w:val="ListParagraph"/>
              <w:numPr>
                <w:ilvl w:val="0"/>
                <w:numId w:val="3"/>
              </w:numPr>
            </w:pPr>
            <w:r>
              <w:rPr>
                <w:rStyle w:val="row-content-rich-text"/>
              </w:rPr>
              <w:t xml:space="preserve">Unit record level data were not available for New South Wales in 2014–15; aggregate data have been reported.</w:t>
            </w:r>
          </w:p>
          <w:p>
            <w:pPr>
              <w:pStyle w:val="ListParagraph"/>
              <w:numPr>
                <w:ilvl w:val="0"/>
                <w:numId w:val="3"/>
              </w:numPr>
            </w:pPr>
            <w:r>
              <w:rPr>
                <w:rStyle w:val="row-content-rich-text"/>
              </w:rPr>
              <w:t xml:space="preserve">Queensland supplied unit record files for the first time in 2014–15. Queensland data for 2014-15 onward are not comparable with data for previous years.</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Further, in relation to substantiated child abuse and neglect, there is a high proportion of children whose Indigenous status is unknown in some jurisdictions.</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w:t>
            </w:r>
            <w:hyperlink w:history="true" r:id="Rdbf682bdabdf4dff">
              <w:r>
                <w:rPr>
                  <w:rStyle w:val="Hyperlink"/>
                </w:rPr>
                <w:t xml:space="preserve">Appendixes D–I (online)</w:t>
              </w:r>
            </w:hyperlink>
            <w:r>
              <w:rPr>
                <w:rStyle w:val="row-content-rich-text"/>
              </w:rPr>
              <w:t xml:space="preserve"> </w:t>
            </w:r>
            <w:r>
              <w:rPr>
                <w:rStyle w:val="row-content-rich-text"/>
              </w:rPr>
              <w:t xml:space="preserve">of </w:t>
            </w:r>
            <w:r>
              <w:rPr>
                <w:rStyle w:val="row-content-rich-text"/>
                <w:i/>
              </w:rPr>
              <w:t xml:space="preserve">Child protection Australia</w:t>
            </w:r>
            <w:r>
              <w:rPr>
                <w:rStyle w:val="row-content-rich-text"/>
              </w:rPr>
              <w:t xml:space="preserve"> 2014–15).</w:t>
            </w:r>
          </w:p>
          <w:p>
            <w:pPr>
              <w:pStyle w:val="ListParagraph"/>
              <w:numPr>
                <w:ilvl w:val="0"/>
                <w:numId w:val="3"/>
              </w:numPr>
            </w:pPr>
            <w:r>
              <w:rPr>
                <w:rStyle w:val="row-content-rich-text"/>
              </w:rPr>
              <w:t xml:space="preserve">All rates in this report were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 </w:t>
            </w:r>
            <w:r>
              <w:rPr>
                <w:rStyle w:val="row-content-rich-text"/>
              </w:rPr>
              <w:t xml:space="preserve">prior to</w:t>
            </w:r>
            <w:r>
              <w:rPr>
                <w:rStyle w:val="row-content-rich-text"/>
                <w:i/>
              </w:rPr>
              <w:t xml:space="preserve"> Child protection Australia 2013–14 </w:t>
            </w:r>
            <w:r>
              <w:rPr>
                <w:rStyle w:val="row-content-rich-text"/>
              </w:rPr>
              <w:t xml:space="preserve">.</w:t>
            </w:r>
          </w:p>
          <w:p>
            <w:pPr>
              <w:pStyle w:val="ListParagraph"/>
              <w:numPr>
                <w:ilvl w:val="0"/>
                <w:numId w:val="3"/>
              </w:numPr>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assists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(2014–2016) for national child protection work. Work </w:t>
            </w:r>
            <w:r>
              <w:rPr>
                <w:rStyle w:val="row-content-rich-text"/>
              </w:rPr>
              <w:t xml:space="preserve">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w:t>
            </w:r>
            <w:r>
              <w:rPr>
                <w:rStyle w:val="row-content-rich-text"/>
              </w:rPr>
              <w:t xml:space="preserve">’</w:t>
            </w:r>
            <w:r>
              <w:rPr>
                <w:rStyle w:val="row-content-rich-text"/>
              </w:rPr>
              <w:t xml:space="preserve">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97b8dfc6fa094b60">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2014–15 National Child Protection Data Collection is from 1 July 2014 to 30 June 2015. Data relating to child protection investigations includes investigation outcomes recorded up until 31 August 2015,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2014–15 collection, the first iteration of data was due to the AIHW by 30 October 2015, and data were finalised for all states and territories in November 2015. Data from the 2014–15 Child Protection Collection were published in April 2016.</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e02fa3a6d0424f76">
              <w:r>
                <w:rPr>
                  <w:rStyle w:val="Hyperlink"/>
                </w:rPr>
                <w:t xml:space="preserve">www.aihw.gov.au/child-protection/</w:t>
              </w:r>
            </w:hyperlink>
            <w:r>
              <w:rPr>
                <w:rStyle w:val="row-content-rich-text"/>
              </w:rPr>
              <w:t xml:space="preserve">.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See </w:t>
            </w:r>
            <w:hyperlink w:history="true" r:id="R34ba4ea79e71469b">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1032 or via email to </w:t>
            </w:r>
            <w:hyperlink w:history="true" r:id="R92918ef4e018460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285059dae1c34fc1">
              <w:r>
                <w:rPr>
                  <w:rStyle w:val="Hyperlink"/>
                </w:rPr>
                <w:t xml:space="preserve">Appendixes D–I (online)</w:t>
              </w:r>
            </w:hyperlink>
            <w:r>
              <w:rPr>
                <w:rStyle w:val="row-content-rich-text"/>
              </w:rPr>
              <w:t xml:space="preserve"> </w:t>
            </w:r>
            <w:r>
              <w:rPr>
                <w:rStyle w:val="row-content-rich-text"/>
              </w:rPr>
              <w:t xml:space="preserve">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that the AIHW presents.</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and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(AIHW 2013a) and in the annual</w:t>
            </w:r>
            <w:r>
              <w:rPr>
                <w:rStyle w:val="row-content-rich-text"/>
                <w:i/>
              </w:rPr>
              <w:t xml:space="preserve"> </w:t>
            </w:r>
            <w:r>
              <w:rPr>
                <w:rStyle w:val="row-content-rich-text"/>
              </w:rPr>
              <w:t xml:space="preserve">RoGS for all jurisdictions except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collections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w:t>
            </w:r>
          </w:p>
          <w:p>
            <w:pPr>
              <w:spacing w:after="160"/>
            </w:pPr>
            <w:r>
              <w:rPr>
                <w:rStyle w:val="row-content-rich-text"/>
              </w:rPr>
              <w:t xml:space="preserve">Some data included in this report may not match data reported in the RoGS due to retrospective updates to state/territory data and differences in the data extraction and analysis methodologies.</w:t>
            </w:r>
          </w:p>
          <w:p>
            <w:pPr>
              <w:pStyle w:val="Heading5"/>
            </w:pPr>
            <w:r>
              <w:rPr>
                <w:rStyle w:val="row-content-rich-text"/>
                <w:b/>
              </w:rPr>
              <w:t xml:space="preserve">Scope and coverage</w:t>
            </w:r>
          </w:p>
          <w:p>
            <w:pPr>
              <w:spacing w:after="160"/>
            </w:pPr>
            <w:r>
              <w:rPr>
                <w:rStyle w:val="row-content-rich-text"/>
              </w:rPr>
              <w:t xml:space="preserve">National child protection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w:t>
            </w:r>
            <w:r>
              <w:rPr>
                <w:rStyle w:val="row-content-rich-text"/>
              </w:rPr>
              <w:t xml:space="preserve">—</w:t>
            </w:r>
            <w:r>
              <w:rPr>
                <w:rStyle w:val="row-content-rich-text"/>
              </w:rPr>
              <w:t xml:space="preserve">along with the overlaps between the separate data modules</w:t>
            </w:r>
            <w:r>
              <w:rPr>
                <w:rStyle w:val="row-content-rich-text"/>
              </w:rPr>
              <w:t xml:space="preserve">—</w:t>
            </w:r>
            <w:r>
              <w:rPr>
                <w:rStyle w:val="row-content-rich-text"/>
              </w:rPr>
              <w:t xml:space="preserve">were reported for the first time in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was reported for the first time in 2012–13.</w:t>
            </w:r>
          </w:p>
          <w:p>
            <w:pPr>
              <w:spacing w:after="160"/>
            </w:pPr>
            <w:r>
              <w:rPr>
                <w:rStyle w:val="row-content-rich-text"/>
              </w:rPr>
              <w:t xml:space="preserve">Ongoing work is being undertaken on the CP NMDS to broaden the scope of the national data collection and to improve comparability of data across jurisdictions. </w:t>
            </w:r>
            <w:r>
              <w:rPr>
                <w:rStyle w:val="row-content-rich-text"/>
                <w:i/>
              </w:rPr>
              <w:t xml:space="preserve"> </w:t>
            </w:r>
          </w:p>
          <w:p>
            <w:pPr>
              <w:pStyle w:val="Heading5"/>
            </w:pPr>
            <w:r>
              <w:rPr>
                <w:rStyle w:val="row-content-rich-text"/>
                <w:b/>
              </w:rPr>
              <w:t xml:space="preserve">Data quality</w:t>
            </w:r>
          </w:p>
          <w:p>
            <w:pPr>
              <w:spacing w:after="160"/>
            </w:pPr>
            <w:r>
              <w:rPr>
                <w:rStyle w:val="row-content-rich-text"/>
              </w:rPr>
              <w:t xml:space="preserve">Overall, the quality and coverage of the child protection data collection are good. However, data availability affects the interpretability of some data presented.</w:t>
            </w:r>
          </w:p>
          <w:p>
            <w:pPr>
              <w:pStyle w:val="ListParagraph"/>
              <w:numPr>
                <w:ilvl w:val="0"/>
                <w:numId w:val="4"/>
              </w:numPr>
            </w:pPr>
            <w:r>
              <w:rPr>
                <w:rStyle w:val="row-content-rich-text"/>
              </w:rPr>
              <w:t xml:space="preserve">Information on SES can be recorded at different times: at the time the abuse or neglect took place, or at the time of the notification, investigation or substantiation.</w:t>
            </w:r>
          </w:p>
          <w:p>
            <w:pPr>
              <w:pStyle w:val="ListParagraph"/>
              <w:numPr>
                <w:ilvl w:val="0"/>
                <w:numId w:val="4"/>
              </w:numPr>
            </w:pPr>
            <w:r>
              <w:rPr>
                <w:rStyle w:val="row-content-rich-text"/>
                <w:i/>
              </w:rPr>
              <w:t xml:space="preserve">Children aged 0–17 who were the subjects of substantiations of notifications received during 2014–15, by Indigenous status</w:t>
            </w:r>
            <w:r>
              <w:rPr>
                <w:rStyle w:val="row-content-rich-text"/>
              </w:rPr>
              <w:t xml:space="preserve"> should be interpreted with caution due to the high proportion of children whose Indigenous status was unknown in Western Australia and Tasmania (14% and 21%, respectively).</w:t>
            </w:r>
          </w:p>
          <w:p>
            <w:pPr>
              <w:pStyle w:val="ListParagraph"/>
              <w:numPr>
                <w:ilvl w:val="0"/>
                <w:numId w:val="4"/>
              </w:numPr>
            </w:pPr>
            <w:r>
              <w:rPr>
                <w:rStyle w:val="row-content-rich-text"/>
              </w:rPr>
              <w:t xml:space="preserve">Data on children substantiated in 2013–14 who were subsequently placed on care and protection orders within 12 months were not available for New South Wales.</w:t>
            </w:r>
          </w:p>
          <w:p>
            <w:pPr>
              <w:pStyle w:val="ListParagraph"/>
              <w:numPr>
                <w:ilvl w:val="0"/>
                <w:numId w:val="4"/>
              </w:numPr>
            </w:pPr>
            <w:r>
              <w:rPr>
                <w:rStyle w:val="row-content-rich-text"/>
              </w:rPr>
              <w:t xml:space="preserve">Data on households exiting foster care and relative/kinship care were not available for New South Wales.</w:t>
            </w:r>
          </w:p>
          <w:p>
            <w:pPr>
              <w:pStyle w:val="ListParagraph"/>
              <w:numPr>
                <w:ilvl w:val="0"/>
                <w:numId w:val="4"/>
              </w:numPr>
            </w:pPr>
            <w:r>
              <w:rPr>
                <w:rStyle w:val="row-content-rich-text"/>
              </w:rPr>
              <w:t xml:space="preserve">Data on relative/kinship carer households with a placement during the year were not available for Queensland.</w:t>
            </w:r>
          </w:p>
          <w:p>
            <w:pPr>
              <w:pStyle w:val="ListParagraph"/>
              <w:numPr>
                <w:ilvl w:val="0"/>
                <w:numId w:val="4"/>
              </w:numPr>
            </w:pPr>
            <w:r>
              <w:rPr>
                <w:rStyle w:val="row-content-rich-text"/>
              </w:rPr>
              <w:t xml:space="preserve">Data on the age of children commencing intensive family support services were not available for South Australia and the Northern Territory.</w:t>
            </w:r>
          </w:p>
          <w:p>
            <w:pPr>
              <w:pStyle w:val="ListParagraph"/>
              <w:numPr>
                <w:ilvl w:val="0"/>
                <w:numId w:val="4"/>
              </w:numPr>
            </w:pPr>
            <w:r>
              <w:rPr>
                <w:rStyle w:val="row-content-rich-text"/>
              </w:rPr>
              <w:t xml:space="preserve">Data on the living arrangements of children commencing intensive family support services were not available for South Australia and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data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New analyses included for the first time in </w:t>
            </w:r>
            <w:r>
              <w:rPr>
                <w:rStyle w:val="row-content-rich-text"/>
                <w:i/>
              </w:rPr>
              <w:t xml:space="preserve">Child protection Australia 2012–13 </w:t>
            </w:r>
            <w:r>
              <w:rPr>
                <w:rStyle w:val="row-content-rich-text"/>
              </w:rPr>
              <w:t xml:space="preserve">related to:</w:t>
            </w:r>
          </w:p>
          <w:p>
            <w:pPr>
              <w:pStyle w:val="ListParagraph"/>
              <w:numPr>
                <w:ilvl w:val="0"/>
                <w:numId w:val="5"/>
              </w:numPr>
            </w:pPr>
            <w:r>
              <w:rPr>
                <w:rStyle w:val="row-content-rich-text"/>
              </w:rPr>
              <w:t xml:space="preserve">unique children receiving child protection services in each jurisdiction</w:t>
            </w:r>
          </w:p>
          <w:p>
            <w:pPr>
              <w:pStyle w:val="ListParagraph"/>
              <w:numPr>
                <w:ilvl w:val="0"/>
                <w:numId w:val="5"/>
              </w:numPr>
            </w:pPr>
            <w:r>
              <w:rPr>
                <w:rStyle w:val="row-content-rich-text"/>
              </w:rPr>
              <w:t xml:space="preserve">the number of substantiations per child</w:t>
            </w:r>
          </w:p>
          <w:p>
            <w:pPr>
              <w:pStyle w:val="ListParagraph"/>
              <w:numPr>
                <w:ilvl w:val="0"/>
                <w:numId w:val="5"/>
              </w:numPr>
            </w:pPr>
            <w:r>
              <w:rPr>
                <w:rStyle w:val="row-content-rich-text"/>
              </w:rPr>
              <w:t xml:space="preserve">co-occurring types of abuse and neglect</w:t>
            </w:r>
          </w:p>
          <w:p>
            <w:pPr>
              <w:pStyle w:val="ListParagraph"/>
              <w:numPr>
                <w:ilvl w:val="0"/>
                <w:numId w:val="5"/>
              </w:numPr>
            </w:pPr>
            <w:r>
              <w:rPr>
                <w:rStyle w:val="row-content-rich-text"/>
              </w:rPr>
              <w:t xml:space="preserve">SES</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The ability to replicate and expand on existing national reporting was the primary focus of the new unit record level collection following the implementation of the CP NMDS in 2012–13. Existing national technical specifications were retained and clarified as part of this process.</w:t>
            </w:r>
          </w:p>
          <w:p>
            <w:pPr>
              <w:spacing w:after="160"/>
            </w:pPr>
            <w:r>
              <w:rPr>
                <w:rStyle w:val="row-content-rich-text"/>
              </w:rPr>
              <w:t xml:space="preserve">The following changes were made to national reporting in 2014–15:</w:t>
            </w:r>
          </w:p>
          <w:p>
            <w:pPr>
              <w:pStyle w:val="ListParagraph"/>
              <w:numPr>
                <w:ilvl w:val="0"/>
                <w:numId w:val="6"/>
              </w:numPr>
            </w:pPr>
            <w:r>
              <w:rPr>
                <w:rStyle w:val="row-content-rich-text"/>
              </w:rPr>
              <w:t xml:space="preserve">Data relating to </w:t>
            </w:r>
            <w:r>
              <w:rPr>
                <w:rStyle w:val="row-content-rich-text"/>
                <w:i/>
              </w:rPr>
              <w:t xml:space="preserve">Children who were the subjects of substantiations, by type of family in which the child was residing</w:t>
            </w:r>
            <w:r>
              <w:rPr>
                <w:rStyle w:val="row-content-rich-text"/>
              </w:rPr>
              <w:t xml:space="preserve"> are not reported due to data availability and quality concerns.</w:t>
            </w:r>
          </w:p>
          <w:p>
            <w:pPr>
              <w:pStyle w:val="ListParagraph"/>
              <w:numPr>
                <w:ilvl w:val="0"/>
                <w:numId w:val="6"/>
              </w:numPr>
            </w:pPr>
            <w:r>
              <w:rPr>
                <w:rStyle w:val="row-content-rich-text"/>
              </w:rPr>
              <w:t xml:space="preserve">The reporting categories used for </w:t>
            </w:r>
            <w:r>
              <w:rPr>
                <w:rStyle w:val="row-content-rich-text"/>
                <w:i/>
              </w:rPr>
              <w:t xml:space="preserve">Number of investigations by source of notification</w:t>
            </w:r>
            <w:r>
              <w:rPr>
                <w:rStyle w:val="row-content-rich-text"/>
              </w:rPr>
              <w:t xml:space="preserve"> have been reduced from 16 to 12 by aggregating data for several related categories.</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r>
              <w:rPr>
                <w:rStyle w:val="row-content-rich-text"/>
              </w:rPr>
              <w:t xml:space="preserve">The revised methodology used by the ABS to obtain estimates of the resident population for Indigenous and non-Indigenous children in 2014–15 resulted in an increase in estimates of the number of Indigenous Australians based on the 2011 Census compared with those based on the 2006 Census (see ABS 2013a). This means that rates calculated with the 2011 Indigenous population estimates are lower than those based on the 2006 Census. To maintain consistency in the denominator and allow comparisons over time, all rates for the period 2010–11 to 2014–15 have been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 </w:t>
            </w:r>
            <w:r>
              <w:rPr>
                <w:rStyle w:val="row-content-rich-text"/>
              </w:rPr>
              <w:t xml:space="preserve">prior to</w:t>
            </w:r>
            <w:r>
              <w:rPr>
                <w:rStyle w:val="row-content-rich-text"/>
                <w:i/>
              </w:rPr>
              <w:t xml:space="preserve"> Child protection Australia</w:t>
            </w:r>
            <w:r>
              <w:br/>
            </w:r>
            <w:r>
              <w:rPr>
                <w:rStyle w:val="row-content-rich-text"/>
                <w:i/>
              </w:rPr>
              <w:t xml:space="preserve">2013–14 </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sectPr>
      <w:footerReference xmlns:r="http://schemas.openxmlformats.org/officeDocument/2006/relationships" w:type="default" r:id="Re4f3c3de0fd1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2943fe6f8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3c3de0fd14282" /><Relationship Type="http://schemas.openxmlformats.org/officeDocument/2006/relationships/header" Target="/word/header1.xml" Id="Re5695f7570104c1b" /><Relationship Type="http://schemas.openxmlformats.org/officeDocument/2006/relationships/settings" Target="/word/settings.xml" Id="Rd3932ae87cc84fde" /><Relationship Type="http://schemas.openxmlformats.org/officeDocument/2006/relationships/styles" Target="/word/styles.xml" Id="Rb8cd15be30d84b9e" /><Relationship Type="http://schemas.openxmlformats.org/officeDocument/2006/relationships/numbering" Target="/word/numbering.xml" Id="R62886c689ebe47ef" /><Relationship Type="http://schemas.openxmlformats.org/officeDocument/2006/relationships/hyperlink" Target="https://meteor-uat.aihw.gov.au/RegistrationAuthority/8" TargetMode="External" Id="R6637115d580740cd" /><Relationship Type="http://schemas.openxmlformats.org/officeDocument/2006/relationships/hyperlink" Target="http://www.aihw.gov.au/publication-detail/?id=60129554728" TargetMode="External" Id="Rdbf682bdabdf4dff" /><Relationship Type="http://schemas.openxmlformats.org/officeDocument/2006/relationships/hyperlink" Target="http://www.aihw.gov.au/" TargetMode="External" Id="R97b8dfc6fa094b60" /><Relationship Type="http://schemas.openxmlformats.org/officeDocument/2006/relationships/hyperlink" Target="http://www.aihw.gov.au/child-protection/" TargetMode="External" Id="Re02fa3a6d0424f76" /><Relationship Type="http://schemas.openxmlformats.org/officeDocument/2006/relationships/hyperlink" Target="http://www.aihw.gov.au/data/" TargetMode="External" Id="R34ba4ea79e71469b" /><Relationship Type="http://schemas.openxmlformats.org/officeDocument/2006/relationships/hyperlink" Target="mailto:info@aihw.gov.au" TargetMode="External" Id="R92918ef4e0184603" /><Relationship Type="http://schemas.openxmlformats.org/officeDocument/2006/relationships/hyperlink" Target="http://www.aihw.gov.au/publication-detail/?id=60129554728" TargetMode="External" Id="R285059dae1c34fc1" /></Relationships>
</file>

<file path=word/_rels/header1.xml.rels>&#65279;<?xml version="1.0" encoding="utf-8"?><Relationships xmlns="http://schemas.openxmlformats.org/package/2006/relationships"><Relationship Type="http://schemas.openxmlformats.org/officeDocument/2006/relationships/image" Target="/media/image.png" Id="Re362943fe6f847fd" /></Relationships>
</file>