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4815f78443451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2017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c9b04981904794">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as presented is a proxy measure based on available data items in the NHMD. The indicator is not a count of patient days used by those eligible (as assessed and approved by an Aged Care Assessment Team (ACAT)) and waiting for residential aged care. The indicator as presented is the number of patient days (and proportion of all patient days) used by patients where the care type is 'Maintenance', a diagnosis was reported as 'Person awaiting admission to residential aged care service' and the separation mode was not 'Other (includes discharge to place of usual residence)'.</w:t>
            </w:r>
          </w:p>
          <w:p>
            <w:pPr>
              <w:pStyle w:val="ListParagraph"/>
              <w:numPr>
                <w:ilvl w:val="0"/>
                <w:numId w:val="2"/>
              </w:numPr>
            </w:pPr>
            <w:r>
              <w:rPr>
                <w:rStyle w:val="row-content-rich-text"/>
              </w:rPr>
              <w:t xml:space="preserve">There is some variation among jurisdictions in the assignment of care-type categories. This may in part reflect measurement and definitional differences across jurisdictions.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is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hyperlink w:history="true" r:id="R57524b7a3b2c46a5">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049cc3d381b34f50">
              <w:r>
                <w:rPr>
                  <w:rStyle w:val="Hyperlink"/>
                  <w:i/>
                </w:rPr>
                <w:t xml:space="preserve">Australian Institute of Health and Welfare Act 1987</w:t>
              </w:r>
            </w:hyperlink>
            <w:r>
              <w:rPr>
                <w:rStyle w:val="row-content-rich-text"/>
              </w:rPr>
              <w:t xml:space="preserve">, in conjunction with compliance to the </w:t>
            </w:r>
            <w:hyperlink w:history="true" r:id="Rb4e6b67713c64234">
              <w:r>
                <w:rPr>
                  <w:rStyle w:val="Hyperlink"/>
                  <w:i/>
                </w:rPr>
                <w:t xml:space="preserve">Privacy Act 1988</w:t>
              </w:r>
            </w:hyperlink>
            <w:r>
              <w:rPr>
                <w:rStyle w:val="row-content-rich-text"/>
              </w:rPr>
              <w:t xml:space="preserve">(Commonwealth),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ccac1de7ab648ba">
              <w:r>
                <w:rPr>
                  <w:rStyle w:val="Hyperlink"/>
                </w:rPr>
                <w:t xml:space="preserve">www.aihw.gov.au</w:t>
              </w:r>
            </w:hyperlink>
            <w:r>
              <w:rPr>
                <w:rStyle w:val="row-content-rich-text"/>
              </w:rPr>
              <w:t xml:space="preserve">.</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r>
              <w:br/>
            </w:r>
            <w:hyperlink w:history="true" r:id="R884fb068cd7e45cd">
              <w:r>
                <w:rPr>
                  <w:rStyle w:val="Hyperlink"/>
                </w:rPr>
                <w:t xml:space="preserve">http://www.aihw.gov.au/nhissc/</w:t>
              </w:r>
            </w:hyperlink>
            <w:r>
              <w:br/>
            </w:r>
            <w:hyperlink w:history="true" r:id="R65a194e33e5545dd">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Admitted patient care</w:t>
            </w:r>
            <w:r>
              <w:rPr>
                <w:rStyle w:val="row-content-rich-text"/>
              </w:rPr>
              <w:t xml:space="preserve">: </w:t>
            </w: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00c2d2d6d1514c83">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Admitted patient care: Australian hospital statistics</w:t>
            </w:r>
            <w:r>
              <w:rPr>
                <w:rStyle w:val="row-content-rich-text"/>
              </w:rPr>
              <w:t xml:space="preserve"> series of reports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hyperlink w:history="true" r:id="R926c2a68cc0249d2">
              <w:r>
                <w:rPr>
                  <w:rStyle w:val="Hyperlink"/>
                  <w:i/>
                </w:rPr>
                <w:t xml:space="preserve">National health data dictionary</w:t>
              </w:r>
            </w:hyperlink>
            <w:r>
              <w:rPr>
                <w:rStyle w:val="row-content-rich-text"/>
              </w:rPr>
              <w:t xml:space="preserve">.</w:t>
            </w:r>
          </w:p>
          <w:p>
            <w:pPr/>
            <w:r>
              <w:rPr>
                <w:rStyle w:val="row-content-rich-text"/>
              </w:rPr>
              <w:t xml:space="preserve">The data quality statement for the 2014–15 NHMD can be accessed on the AIHW website at: </w:t>
            </w:r>
            <w:hyperlink w:history="true" r:id="R89edba9b6c094bf0">
              <w:r>
                <w:rPr>
                  <w:rStyle w:val="Hyperlink"/>
                </w:rPr>
                <w:t xml:space="preserve">/content/index.phtml/itemId/638202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national minimum data set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This indicator is a proxy indicator.</w:t>
            </w:r>
          </w:p>
          <w:p>
            <w:pPr>
              <w:spacing w:after="160"/>
            </w:pPr>
            <w:r>
              <w:rPr>
                <w:rStyle w:val="row-content-rich-text"/>
              </w:rPr>
              <w:t xml:space="preserve">Analyses by remoteness and socioeconomic status are based on the Statistical Area Level 2 (SA2)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w:t>
            </w:r>
          </w:p>
          <w:p>
            <w:pPr>
              <w:spacing w:after="160"/>
            </w:pPr>
            <w:r>
              <w:rPr>
                <w:rStyle w:val="row-content-rich-text"/>
              </w:rPr>
              <w:t xml:space="preserve">The SEIFA scores for each SA2 are derived from 2011 Census data and represent the attributes of the population in that SA2 in 2011.</w:t>
            </w:r>
          </w:p>
          <w:p>
            <w:pPr>
              <w:spacing w:after="160"/>
            </w:pPr>
            <w:r>
              <w:rPr>
                <w:rStyle w:val="row-content-rich-text"/>
              </w:rPr>
              <w:t xml:space="preserve">In 2011, the ABS updated the SEIFA, based on the 2011 Australian Bureau of Statistics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p>
            <w:pPr>
              <w:spacing w:after="160"/>
            </w:pPr>
            <w:r>
              <w:rPr>
                <w:rStyle w:val="row-content-rich-text"/>
              </w:rPr>
              <w:t xml:space="preserve">Patient days are reported by jurisdiction of hospitalisation, regardless of the jurisdiction of residence. Hence, rates represent the number of patient days for patients living in each remoteness area or SEIFA population group (regardless of their jurisdiction of usual residence) divided by the total number of patient days for patients living in that remoteness area or SEIFA population group hospitalised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2014–15,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There is some variation among jurisdictions in the assignment of care type categories, this may in part reflect measurement and definitional differences across jurisdictions.</w:t>
            </w:r>
          </w:p>
          <w:p>
            <w:pPr>
              <w:spacing w:after="160"/>
            </w:pPr>
            <w:r>
              <w:rPr>
                <w:rStyle w:val="row-content-rich-text"/>
              </w:rPr>
              <w:t xml:space="preserve">The NHMD does not include data on ACAT assessments.</w:t>
            </w:r>
          </w:p>
          <w:p>
            <w:pPr>
              <w:spacing w:after="160"/>
            </w:pPr>
            <w:r>
              <w:rPr>
                <w:rStyle w:val="row-content-rich-text"/>
              </w:rPr>
              <w:t xml:space="preserve">The AIHW report </w:t>
            </w:r>
            <w:hyperlink w:history="true" r:id="R29cb592f14024d23">
              <w:r>
                <w:rPr>
                  <w:rStyle w:val="Hyperlink"/>
                  <w:i/>
                </w:rPr>
                <w:t xml:space="preserve">Indigenous identification in hospital separations data: quality report</w:t>
              </w:r>
            </w:hyperlink>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counts less than 3 were suppressed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rates which appear misleading (for example, because of cross border flows) were also suppressed</w:t>
            </w:r>
          </w:p>
          <w:p>
            <w:pPr>
              <w:pStyle w:val="ListParagraph"/>
              <w:numPr>
                <w:ilvl w:val="0"/>
                <w:numId w:val="4"/>
              </w:numPr>
            </w:pPr>
            <w:r>
              <w:rPr>
                <w:rStyle w:val="row-content-rich-text"/>
              </w:rPr>
              <w:t xml:space="preserve">consequential suppression was applied where appropriate to protect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hyperlink w:history="true" r:id="R6f6bd6fc006c4d63">
              <w:r>
                <w:rPr>
                  <w:rStyle w:val="Hyperlink"/>
                  <w:i/>
                </w:rPr>
                <w:t xml:space="preserve">Admitted patient care 2014–15: Australian hospital statistics</w:t>
              </w:r>
            </w:hyperlink>
            <w:r>
              <w:rPr>
                <w:rStyle w:val="row-content-rich-text"/>
              </w:rPr>
              <w:t xml:space="preserve"> (AIHW 2016).</w:t>
            </w:r>
          </w:p>
          <w:p>
            <w:pPr>
              <w:spacing w:after="160"/>
            </w:pPr>
            <w:r>
              <w:rPr>
                <w:rStyle w:val="row-content-rich-text"/>
              </w:rPr>
              <w:t xml:space="preserve">The data can be meaningfully compared across reference periods for all jurisdictions except Tasmania. Data for Tasmania for 2008–09 does not include 2 private hospitals that were included in 2007–08 and 2009–10 data reported in National Healthcare Agreement reports.</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New South Wales, Queensland, Western Australia, South Australia and the Northern Territory. National level data disaggregated by Indigenous status for 2008–09, 2009–10 and 2010–11 included data from New South Wales, Victoria, Queensland, Western Australia, South Australia and the Northern Territory.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r>
              <w:rPr>
                <w:rStyle w:val="row-content-rich-text"/>
              </w:rPr>
              <w:t xml:space="preserve">Data for 2007–08 through to 2011–12 reported by remoteness are reported for RA 2006.  Data for 2012–13, 2013–14 and 2014–15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2013. Indigenous identification in hospital separations data: quality report. Cat. no. IHW 90. Canberra: AIHW. Viewed 26 July 2017, </w:t>
            </w:r>
            <w:hyperlink w:history="true" r:id="R7de9b0e54a4149ca">
              <w:r>
                <w:rPr>
                  <w:rStyle w:val="Hyperlink"/>
                </w:rPr>
                <w:t xml:space="preserve">http://www.aihw.gov.au/publication-detail/?id=60129543215</w:t>
              </w:r>
            </w:hyperlink>
            <w:r>
              <w:rPr>
                <w:rStyle w:val="row-content-rich-text"/>
              </w:rPr>
              <w:t xml:space="preserve">.</w:t>
            </w:r>
          </w:p>
          <w:p>
            <w:pPr/>
            <w:r>
              <w:rPr>
                <w:rStyle w:val="row-content-rich-text"/>
              </w:rPr>
              <w:t xml:space="preserve">AIHW 2016. Non-admitted patient care 2014–15: Australian hospital statistics. Cat. no. HSE 174. Canberra: AIHW. Viewed 26 July 2017, </w:t>
            </w:r>
            <w:hyperlink w:history="true" r:id="Ra712589910a44908">
              <w:r>
                <w:rPr>
                  <w:rStyle w:val="Hyperlink"/>
                </w:rPr>
                <w:t xml:space="preserve">http://www.aihw.gov.au/publication-detail/?id=60129556022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f2ec5b12904f72">
              <w:r>
                <w:rPr>
                  <w:rStyle w:val="Hyperlink"/>
                </w:rPr>
                <w:t xml:space="preserve">National Healthcare Agreement: PI 27-Number of hospital patient days used by those eligible and waiting for residential aged care, 2016 QS</w:t>
              </w:r>
            </w:hyperlink>
          </w:p>
          <w:p>
            <w:pPr>
              <w:pStyle w:val="registration-status"/>
              <w:spacing w:before="0" w:after="0"/>
            </w:pPr>
            <w:hyperlink w:history="true" r:id="Rf02aacf8951547c5">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45992709cbc44a33">
              <w:r>
                <w:rPr>
                  <w:rStyle w:val="Hyperlink"/>
                </w:rPr>
                <w:t xml:space="preserve">National Healthcare Agreement: PI 27-Number of hospital patient days used by those eligible and waiting for residential aged care, 2018 QS</w:t>
              </w:r>
            </w:hyperlink>
          </w:p>
          <w:p>
            <w:pPr>
              <w:pStyle w:val="registration-status"/>
              <w:spacing w:before="0" w:after="0"/>
            </w:pPr>
            <w:hyperlink w:history="true" r:id="Rf974ac9204ea4ae4">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1b1acd007994c5d">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9fa6b6503d0a486b">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687ecb6da0434d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630517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8c48f26ab24d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7ecb6da0434d16" /><Relationship Type="http://schemas.openxmlformats.org/officeDocument/2006/relationships/header" Target="/word/header1.xml" Id="R5125aa24679a49da" /><Relationship Type="http://schemas.openxmlformats.org/officeDocument/2006/relationships/settings" Target="/word/settings.xml" Id="R0526e7771f5845b4" /><Relationship Type="http://schemas.openxmlformats.org/officeDocument/2006/relationships/styles" Target="/word/styles.xml" Id="R8e7e35785a9848dc" /><Relationship Type="http://schemas.openxmlformats.org/officeDocument/2006/relationships/numbering" Target="/word/numbering.xml" Id="Rdb91f5612dab4150" /><Relationship Type="http://schemas.openxmlformats.org/officeDocument/2006/relationships/hyperlink" Target="https://meteor-uat.aihw.gov.au/RegistrationAuthority/14" TargetMode="External" Id="Rf3c9b04981904794" /><Relationship Type="http://schemas.openxmlformats.org/officeDocument/2006/relationships/hyperlink" Target="http://www.legislation.gov.au/Series/C2004A03450" TargetMode="External" Id="R57524b7a3b2c46a5" /><Relationship Type="http://schemas.openxmlformats.org/officeDocument/2006/relationships/hyperlink" Target="http://www.legislation.gov.au/Series/C2004A03450" TargetMode="External" Id="R049cc3d381b34f50" /><Relationship Type="http://schemas.openxmlformats.org/officeDocument/2006/relationships/hyperlink" Target="https://www.legislation.gov.au/Series/C2004A03712" TargetMode="External" Id="Rb4e6b67713c64234" /><Relationship Type="http://schemas.openxmlformats.org/officeDocument/2006/relationships/hyperlink" Target="http://www.aihw.gov.au/" TargetMode="External" Id="Rdccac1de7ab648ba" /><Relationship Type="http://schemas.openxmlformats.org/officeDocument/2006/relationships/hyperlink" Target="http://www.aihw.gov.au/nhissc/" TargetMode="External" Id="R884fb068cd7e45cd" /><Relationship Type="http://schemas.openxmlformats.org/officeDocument/2006/relationships/hyperlink" Target="https://meteor-uat.aihw.gov.au/content/182135" TargetMode="External" Id="R65a194e33e5545dd" /><Relationship Type="http://schemas.openxmlformats.org/officeDocument/2006/relationships/hyperlink" Target="http://www.aihw.gov.au/hospitals/" TargetMode="External" Id="R00c2d2d6d1514c83" /><Relationship Type="http://schemas.openxmlformats.org/officeDocument/2006/relationships/hyperlink" Target="https://meteor-uat.aihw.gov.au/content/268110" TargetMode="External" Id="R926c2a68cc0249d2" /><Relationship Type="http://schemas.openxmlformats.org/officeDocument/2006/relationships/hyperlink" Target="https://meteor-uat.aihw.gov.au/content/638202" TargetMode="External" Id="R89edba9b6c094bf0" /><Relationship Type="http://schemas.openxmlformats.org/officeDocument/2006/relationships/hyperlink" Target="http://www.aihw.gov.au/publication-detail/?id=60129543215" TargetMode="External" Id="R29cb592f14024d23" /><Relationship Type="http://schemas.openxmlformats.org/officeDocument/2006/relationships/hyperlink" Target="http://www.aihw.gov.au/publication-detail/?id=60129556022" TargetMode="External" Id="R6f6bd6fc006c4d63" /><Relationship Type="http://schemas.openxmlformats.org/officeDocument/2006/relationships/hyperlink" Target="http://www.aihw.gov.au/publication-detail/?id=60129543215" TargetMode="External" Id="R7de9b0e54a4149ca" /><Relationship Type="http://schemas.openxmlformats.org/officeDocument/2006/relationships/hyperlink" Target="http://www.aihw.gov.au/publication-detail/?id=60129556022" TargetMode="External" Id="Ra712589910a44908" /><Relationship Type="http://schemas.openxmlformats.org/officeDocument/2006/relationships/hyperlink" Target="https://meteor-uat.aihw.gov.au/content/600116" TargetMode="External" Id="Re4f2ec5b12904f72" /><Relationship Type="http://schemas.openxmlformats.org/officeDocument/2006/relationships/hyperlink" Target="https://meteor-uat.aihw.gov.au/RegistrationAuthority/14" TargetMode="External" Id="Rf02aacf8951547c5" /><Relationship Type="http://schemas.openxmlformats.org/officeDocument/2006/relationships/hyperlink" Target="https://meteor-uat.aihw.gov.au/content/681605" TargetMode="External" Id="R45992709cbc44a33" /><Relationship Type="http://schemas.openxmlformats.org/officeDocument/2006/relationships/hyperlink" Target="https://meteor-uat.aihw.gov.au/RegistrationAuthority/14" TargetMode="External" Id="Rf974ac9204ea4ae4" /><Relationship Type="http://schemas.openxmlformats.org/officeDocument/2006/relationships/hyperlink" Target="https://meteor-uat.aihw.gov.au/content/630057" TargetMode="External" Id="R61b1acd007994c5d" /><Relationship Type="http://schemas.openxmlformats.org/officeDocument/2006/relationships/hyperlink" Target="https://meteor-uat.aihw.gov.au/RegistrationAuthority/14" TargetMode="External" Id="R9fa6b6503d0a486b" /></Relationships>
</file>

<file path=word/_rels/header1.xml.rels>&#65279;<?xml version="1.0" encoding="utf-8"?><Relationships xmlns="http://schemas.openxmlformats.org/package/2006/relationships"><Relationship Type="http://schemas.openxmlformats.org/officeDocument/2006/relationships/image" Target="/media/image.png" Id="R4b8c48f26ab24d08" /></Relationships>
</file>