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91b1a2daa6439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26-Residential and community aged care places per 1,000 population aged 70+ years (and Aboriginal and Torres Strait Islander people aged 50-69 years), 2017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26-Residential and community aged care places per 1,000 population aged 70+ years (and Aboriginal and Torres Strait Islander people aged 50-69 years),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4e2a35cb6c4871">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an administrative data collection designed for payment of subsidies to service providers which has accurate data on the number and location of funded aged care places</w:t>
            </w:r>
          </w:p>
          <w:p>
            <w:pPr>
              <w:pStyle w:val="ListParagraph"/>
              <w:numPr>
                <w:ilvl w:val="0"/>
                <w:numId w:val="2"/>
              </w:numPr>
            </w:pPr>
            <w:r>
              <w:rPr>
                <w:rStyle w:val="row-content-rich-text"/>
              </w:rPr>
              <w:t xml:space="preserve">The presented measure excludes information about services delivered to older people under the Commonwealth Home Support Programme (CHSP) or its predecessor, the Home and Community Care program (HACC) </w:t>
            </w:r>
          </w:p>
          <w:p>
            <w:pPr>
              <w:pStyle w:val="ListParagraph"/>
              <w:numPr>
                <w:ilvl w:val="0"/>
                <w:numId w:val="2"/>
              </w:numPr>
            </w:pPr>
            <w:r>
              <w:rPr>
                <w:rStyle w:val="row-content-rich-text"/>
              </w:rPr>
              <w:t xml:space="preserve">Remoteness data for 2012 and previous years are not directly comparable to remoteness data for 2013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Approved services submit data to Department of Human Services (DHS) to claim subsidies from the Australian Government.  These data are provided to Department of Health (DoH) to administer services under the </w:t>
            </w:r>
            <w:hyperlink w:history="true" r:id="Rbc08c9f7949a48f6">
              <w:r>
                <w:rPr>
                  <w:rStyle w:val="Hyperlink"/>
                  <w:i/>
                </w:rPr>
                <w:t xml:space="preserve">Aged Care Act 1997</w:t>
              </w:r>
            </w:hyperlink>
            <w:r>
              <w:rPr>
                <w:rStyle w:val="row-content-rich-text"/>
              </w:rPr>
              <w:t xml:space="preserve">and the </w:t>
            </w:r>
            <w:hyperlink w:history="true" r:id="R3b77354a516a447a">
              <w:r>
                <w:rPr>
                  <w:rStyle w:val="Hyperlink"/>
                </w:rPr>
                <w:t xml:space="preserve">Aged Care Principles </w:t>
              </w:r>
            </w:hyperlink>
            <w:r>
              <w:rPr>
                <w:rStyle w:val="row-content-rich-text"/>
              </w:rPr>
              <w:t xml:space="preserve">and to administer places delivered under the Aboriginal and Torres Strait Islander Aged Care Strategy.</w:t>
            </w:r>
          </w:p>
          <w:p>
            <w:pPr/>
            <w:r>
              <w:rPr>
                <w:rStyle w:val="row-content-rich-text"/>
              </w:rPr>
              <w:t xml:space="preserve">The data quality statement was developed by the then Department of Health and Ageing (DoHA) in 2009 and includes comments from the Australian Institute of Health and Welfare (AIHW). The AIHW did not have all of the relevant datasets required to independently verify the data tables for this indicator. For further information see the </w:t>
            </w:r>
            <w:hyperlink w:history="true" r:id="R12f4169608744614">
              <w:r>
                <w:rPr>
                  <w:rStyle w:val="Hyperlink"/>
                </w:rPr>
                <w:t xml:space="preserve">AIHW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i/>
              </w:rPr>
              <w:t xml:space="preserve">Numerator</w:t>
            </w:r>
            <w:r>
              <w:rPr>
                <w:rStyle w:val="row-content-rich-text"/>
              </w:rPr>
              <w:t xml:space="preserve">: Based on a stocktake of aged care places which were operational at 30 June 2016. Data for the current reporting period are available in October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Aggregated data items are published in the Steering Committee for the Review of Government Service Provision's (SCRGSP’s) </w:t>
            </w:r>
            <w:hyperlink w:history="true" r:id="Rbfa68bdb0c11497e">
              <w:r>
                <w:rPr>
                  <w:rStyle w:val="Hyperlink"/>
                  <w:i/>
                </w:rPr>
                <w:t xml:space="preserve">Report on government services</w:t>
              </w:r>
            </w:hyperlink>
            <w:r>
              <w:rPr>
                <w:rStyle w:val="row-content-rich-text"/>
              </w:rPr>
              <w:t xml:space="preserve">, the </w:t>
            </w:r>
            <w:hyperlink w:history="true" r:id="Rf437e481a79e4e23">
              <w:r>
                <w:rPr>
                  <w:rStyle w:val="Hyperlink"/>
                  <w:i/>
                </w:rPr>
                <w:t xml:space="preserve">Reports on the operation of the Aged Care Act 1997</w:t>
              </w:r>
            </w:hyperlink>
            <w:r>
              <w:rPr>
                <w:rStyle w:val="row-content-rich-text"/>
              </w:rPr>
              <w:t xml:space="preserve"> prepared by DSS, and in the </w:t>
            </w:r>
            <w:hyperlink w:history="true" r:id="Rcf6afd6762194d0f">
              <w:r>
                <w:rPr>
                  <w:rStyle w:val="Hyperlink"/>
                </w:rPr>
                <w:t xml:space="preserve">AIHW’s Aged care statistics series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definitions is available in the </w:t>
            </w:r>
            <w:r>
              <w:rPr>
                <w:rStyle w:val="row-content-rich-text"/>
                <w:i/>
              </w:rPr>
              <w:t xml:space="preserve">Aged Care Act 1997</w:t>
            </w:r>
            <w:r>
              <w:rPr>
                <w:rStyle w:val="row-content-rich-text"/>
              </w:rPr>
              <w:t xml:space="preserve"> and at the following page on the Department of Health website: </w:t>
            </w:r>
            <w:hyperlink w:history="true" r:id="Rcbe5366432b6485e">
              <w:r>
                <w:rPr>
                  <w:rStyle w:val="Hyperlink"/>
                </w:rPr>
                <w:t xml:space="preserve">https://agedcare.health.gov.au/publications-and-articles/legislation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Numerator:</w:t>
            </w:r>
            <w:r>
              <w:rPr>
                <w:rStyle w:val="row-content-rich-text"/>
              </w:rPr>
              <w:t xml:space="preserve"> The data includes all places offered by aged care services subsidised by the Australian Government under the programs identified above.</w:t>
            </w:r>
          </w:p>
          <w:p>
            <w:pPr>
              <w:spacing w:after="160"/>
            </w:pPr>
            <w:r>
              <w:rPr>
                <w:rStyle w:val="row-content-rich-text"/>
              </w:rPr>
              <w:t xml:space="preserve">Residential places are those allocated to an Aged Care Planning Region which were delivered in an Australian Government subsidised residential aged care facility and were operational at 30 June 2016, and includes Multi-Purpose Services and places delivered under the National Aboriginal and Torres Strait Islander Flexible Aged Care and Innovative Care Programs provided in a residential aged care facility.</w:t>
            </w:r>
          </w:p>
          <w:p>
            <w:pPr/>
            <w:r>
              <w:rPr>
                <w:rStyle w:val="row-content-rich-text"/>
              </w:rPr>
              <w:t xml:space="preserve">Community care places are those which were operational at 30 June 2016 and include places for the following programs: Home Care Packages Levels 1–4, Multi-Purpose Services, the National Aboriginal and Torres Strait Islander Flexible Aged Care and Innovative Care Programs provided in the community and the Transition Care Program.</w:t>
            </w:r>
            <w:r>
              <w:br/>
            </w:r>
            <w:r>
              <w:rPr>
                <w:rStyle w:val="row-content-rich-text"/>
              </w:rPr>
              <w:t xml:space="preserve">This indicator does not include services funded through CHSP.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from an administrative data collection designed for payment of subsidies to service providers and have accurate data on the number and location of funded aged care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items used for the numerator in this indicator are consistent and comparable over time. This indicator is consistent with other publicly available information about aged care places. Indigenous population projections have been calculated using a different method compared with that used in previous years. This will have a small effect on comparability with results from previous years.</w:t>
            </w:r>
          </w:p>
          <w:p>
            <w:pPr/>
            <w:r>
              <w:rPr>
                <w:rStyle w:val="row-content-rich-text"/>
              </w:rPr>
              <w:t xml:space="preserve">In 2011, the ABS updated the standard geography used in Australia for most data collections from the Australian Standard Geographical Classification to the Australian Statistical Geography Standard. Also updated at this time were remoteness areas, based on the 2011 ABS Census of Population and Housing. The new remoteness areas will be referred to as RA 2011, and the previous remoteness areas as RA 2006.  Data for 2009 through to 2012 reported by remoteness were reported for RA 2006.  Data for 2013 and subsequent years are reported for RA 2011. The AIHW considers the change from RA 2006 to RA 2011 to be a series break when applied to data supplied for this indicator, therefore remoteness data for 2012 and previous years are not directly comparable to remoteness data for 2013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df72bf9f2f4529">
              <w:r>
                <w:rPr>
                  <w:rStyle w:val="Hyperlink"/>
                </w:rPr>
                <w:t xml:space="preserve">National Healthcare Agreement: PI 26-Residential and community aged care places per 1,000 population aged 70+ years (and Aboriginal and Torres Strait Islander people aged 50-69 years), 2016 QS</w:t>
              </w:r>
            </w:hyperlink>
          </w:p>
          <w:p>
            <w:pPr>
              <w:pStyle w:val="registration-status"/>
              <w:spacing w:before="0" w:after="0"/>
            </w:pPr>
            <w:hyperlink w:history="true" r:id="R4e51310912ae4d40">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f52d71c5aaec4ebc">
              <w:r>
                <w:rPr>
                  <w:rStyle w:val="Hyperlink"/>
                </w:rPr>
                <w:t xml:space="preserve">National Healthcare Agreement: PI 26-Residential and community aged care places per 1,000 population aged 70+ years (and Aboriginal and Torres Strait Islander people aged 50-69 years), 2018 QS</w:t>
              </w:r>
            </w:hyperlink>
          </w:p>
          <w:p>
            <w:pPr>
              <w:pStyle w:val="registration-status"/>
              <w:spacing w:before="0" w:after="0"/>
            </w:pPr>
            <w:hyperlink w:history="true" r:id="Rc0073bd4f69d4d66">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3d1a9f2e97746b6">
              <w:r>
                <w:rPr>
                  <w:rStyle w:val="Hyperlink"/>
                </w:rPr>
                <w:t xml:space="preserve">National Healthcare Agreement: PI 26–Residential and community aged care places per 1,000 population aged 70+ years (and Aboriginal and Torres Strait Islander people aged 50–69 years), 2017</w:t>
              </w:r>
            </w:hyperlink>
          </w:p>
          <w:p>
            <w:pPr>
              <w:pStyle w:val="registration-status"/>
              <w:spacing w:before="0" w:after="0"/>
            </w:pPr>
            <w:hyperlink w:history="true" r:id="Rf05b62ca140a42fe">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06a4771ce1db4e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630514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49b5cb83c945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a4771ce1db4eb6" /><Relationship Type="http://schemas.openxmlformats.org/officeDocument/2006/relationships/header" Target="/word/header1.xml" Id="R30d45ffd183e4ce3" /><Relationship Type="http://schemas.openxmlformats.org/officeDocument/2006/relationships/settings" Target="/word/settings.xml" Id="Rfd57916124dc403f" /><Relationship Type="http://schemas.openxmlformats.org/officeDocument/2006/relationships/styles" Target="/word/styles.xml" Id="R8f68958563444de5" /><Relationship Type="http://schemas.openxmlformats.org/officeDocument/2006/relationships/numbering" Target="/word/numbering.xml" Id="R4705f2dfe4734ebb" /><Relationship Type="http://schemas.openxmlformats.org/officeDocument/2006/relationships/hyperlink" Target="https://meteor-uat.aihw.gov.au/RegistrationAuthority/14" TargetMode="External" Id="Rb14e2a35cb6c4871" /><Relationship Type="http://schemas.openxmlformats.org/officeDocument/2006/relationships/hyperlink" Target="https://www.legislation.gov.au/Details/C2016C01052" TargetMode="External" Id="Rbc08c9f7949a48f6" /><Relationship Type="http://schemas.openxmlformats.org/officeDocument/2006/relationships/hyperlink" Target="https://agedcare.health.gov.au/publications-and-articles/legislation" TargetMode="External" Id="R3b77354a516a447a" /><Relationship Type="http://schemas.openxmlformats.org/officeDocument/2006/relationships/hyperlink" Target="http://www.aihw.gov.au/" TargetMode="External" Id="R12f4169608744614" /><Relationship Type="http://schemas.openxmlformats.org/officeDocument/2006/relationships/hyperlink" Target="http://www.pc.gov.au/gsp/rogs" TargetMode="External" Id="Rbfa68bdb0c11497e" /><Relationship Type="http://schemas.openxmlformats.org/officeDocument/2006/relationships/hyperlink" Target="https://agedcare.health.gov.au/publications-and-articles/reports/report-on-the-operation-of-the-aged-care-act-1997" TargetMode="External" Id="Rf437e481a79e4e23" /><Relationship Type="http://schemas.openxmlformats.org/officeDocument/2006/relationships/hyperlink" Target="http://www.aihw.gov.au/aged-care-publications/" TargetMode="External" Id="Rcf6afd6762194d0f" /><Relationship Type="http://schemas.openxmlformats.org/officeDocument/2006/relationships/hyperlink" Target="https://agedcare.health.gov.au/publications-and-articles/legislation" TargetMode="External" Id="Rcbe5366432b6485e" /><Relationship Type="http://schemas.openxmlformats.org/officeDocument/2006/relationships/hyperlink" Target="https://meteor-uat.aihw.gov.au/content/600114" TargetMode="External" Id="R65df72bf9f2f4529" /><Relationship Type="http://schemas.openxmlformats.org/officeDocument/2006/relationships/hyperlink" Target="https://meteor-uat.aihw.gov.au/RegistrationAuthority/14" TargetMode="External" Id="R4e51310912ae4d40" /><Relationship Type="http://schemas.openxmlformats.org/officeDocument/2006/relationships/hyperlink" Target="https://meteor-uat.aihw.gov.au/content/681607" TargetMode="External" Id="Rf52d71c5aaec4ebc" /><Relationship Type="http://schemas.openxmlformats.org/officeDocument/2006/relationships/hyperlink" Target="https://meteor-uat.aihw.gov.au/RegistrationAuthority/14" TargetMode="External" Id="Rc0073bd4f69d4d66" /><Relationship Type="http://schemas.openxmlformats.org/officeDocument/2006/relationships/hyperlink" Target="https://meteor-uat.aihw.gov.au/content/630055" TargetMode="External" Id="R73d1a9f2e97746b6" /><Relationship Type="http://schemas.openxmlformats.org/officeDocument/2006/relationships/hyperlink" Target="https://meteor-uat.aihw.gov.au/RegistrationAuthority/14" TargetMode="External" Id="Rf05b62ca140a42fe" /></Relationships>
</file>

<file path=word/_rels/header1.xml.rels>&#65279;<?xml version="1.0" encoding="utf-8"?><Relationships xmlns="http://schemas.openxmlformats.org/package/2006/relationships"><Relationship Type="http://schemas.openxmlformats.org/officeDocument/2006/relationships/image" Target="/media/image.png" Id="R5449b5cb83c94575" /></Relationships>
</file>