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ab413e5d624e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21b51e1c8b48d6">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 </w:t>
            </w:r>
          </w:p>
          <w:p>
            <w:pPr>
              <w:pStyle w:val="ListParagraph"/>
              <w:numPr>
                <w:ilvl w:val="0"/>
                <w:numId w:val="2"/>
              </w:numPr>
            </w:pPr>
            <w:r>
              <w:rPr>
                <w:rStyle w:val="row-content-rich-text"/>
              </w:rPr>
              <w:t xml:space="preserve">For 2015–16, the coverage of the NNAPEDCD is considered complete for public hospitals with emergency departments that meet the criteria specified in the Non-admitted patient emergency department care (NAPEDC) National Minimum Data Set (NMDS) and the NAPEDC Data Set Specification (DSS). </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are not reported to the NNAPEDCD. For 2014–5 it was estimated that 88% of emergency presentations were reported in the NNAPEDCD.</w:t>
            </w:r>
          </w:p>
          <w:p>
            <w:pPr>
              <w:pStyle w:val="ListParagraph"/>
              <w:numPr>
                <w:ilvl w:val="0"/>
                <w:numId w:val="2"/>
              </w:numPr>
            </w:pPr>
            <w:r>
              <w:rPr>
                <w:rStyle w:val="row-content-rich-text"/>
              </w:rPr>
              <w:t xml:space="preserve">Most emergency presentations occur in </w:t>
            </w:r>
            <w:r>
              <w:rPr>
                <w:rStyle w:val="row-content-rich-text"/>
                <w:i/>
              </w:rPr>
              <w:t xml:space="preserve">Major cities</w:t>
            </w:r>
            <w:r>
              <w:rPr>
                <w:rStyle w:val="row-content-rich-text"/>
              </w:rPr>
              <w:t xml:space="preserve">. Therefore, disaggregation by remoteness, socioeconomic status and Indigenous status should be interpreted with caution. </w:t>
            </w:r>
          </w:p>
          <w:p>
            <w:pPr>
              <w:pStyle w:val="ListParagraph"/>
              <w:numPr>
                <w:ilvl w:val="0"/>
                <w:numId w:val="2"/>
              </w:numPr>
            </w:pPr>
            <w:r>
              <w:rPr>
                <w:rStyle w:val="row-content-rich-text"/>
              </w:rPr>
              <w:t xml:space="preserve">For 2015–16, Australian Capital Territory emergency department care information was not available at the time of publication. </w:t>
            </w:r>
          </w:p>
          <w:p>
            <w:pPr>
              <w:pStyle w:val="ListParagraph"/>
              <w:numPr>
                <w:ilvl w:val="0"/>
                <w:numId w:val="2"/>
              </w:numPr>
            </w:pPr>
            <w:r>
              <w:rPr>
                <w:rStyle w:val="row-content-rich-text"/>
              </w:rPr>
              <w:t xml:space="preserve">For 2015–16, Queensland provided data to the NNAPEDCD using the NAPEDC DSS, while all other states and territories provided data to the NNAPEDCD using the NAPEDC NMDS specification. Therefore, Queensland data may not be entirely comparable with data provided for other states and territories.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Data provided for this indicator may not be comparable to data calculated in previous reporting periods due to changes in scope and peer group classifications.</w:t>
            </w:r>
          </w:p>
          <w:p>
            <w:pPr>
              <w:pStyle w:val="ListParagraph"/>
              <w:numPr>
                <w:ilvl w:val="0"/>
                <w:numId w:val="2"/>
              </w:numPr>
            </w:pPr>
            <w:r>
              <w:rPr>
                <w:rStyle w:val="row-content-rich-text"/>
              </w:rPr>
              <w:t xml:space="preserve">Remoteness data for 2011–12 and previous years are not directly comparable to remoteness data for 2012–13 and subsequent years. </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53c20f201994da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5fab349fce874d6f">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f228aa48612f4465">
              <w:r>
                <w:rPr>
                  <w:rStyle w:val="Hyperlink"/>
                </w:rPr>
                <w:t xml:space="preserve">AIHW website</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 </w:t>
            </w:r>
            <w:hyperlink w:history="true" r:id="R686a080d1e444326">
              <w:r>
                <w:rPr>
                  <w:rStyle w:val="Hyperlink"/>
                </w:rPr>
                <w:t xml:space="preserve">http://www.aihw.gov.au/nhissc/</w:t>
              </w:r>
            </w:hyperlink>
            <w:r>
              <w:rPr>
                <w:rStyle w:val="row-content-rich-text"/>
              </w:rPr>
              <w:t xml:space="preserve">  </w:t>
            </w:r>
            <w:r>
              <w:br/>
            </w:r>
            <w:hyperlink w:history="true" r:id="R5ac5aa7938734074">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2015–16.</w:t>
            </w:r>
          </w:p>
          <w:p>
            <w:pPr/>
            <w:r>
              <w:rPr>
                <w:rStyle w:val="row-content-rich-text"/>
              </w:rPr>
              <w:t xml:space="preserve">For 2015–16, Australian Capital Territory emergency department care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57117ee3e488469d">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 </w:t>
            </w:r>
            <w:hyperlink w:history="true" r:id="Ra1c3d08c0bf2428f">
              <w:r>
                <w:rPr>
                  <w:rStyle w:val="Hyperlink"/>
                </w:rPr>
                <w:t xml:space="preserve">/content/index.phtml/itemId/268110</w:t>
              </w:r>
            </w:hyperlink>
          </w:p>
          <w:p>
            <w:pPr/>
            <w:r>
              <w:rPr>
                <w:rStyle w:val="row-content-rich-text"/>
              </w:rPr>
              <w:t xml:space="preserve">The data quality statement for the 2014–15 NNAPEDCD can be accessed on the AIHW website at: </w:t>
            </w:r>
            <w:hyperlink w:history="true" r:id="Rc7b2e41723324b33">
              <w:r>
                <w:rPr>
                  <w:rStyle w:val="Hyperlink"/>
                </w:rPr>
                <w:t xml:space="preserve">/content/index.phtml/itemId/621200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2015 and prior reporting periods, the indicator included only peer group A (</w:t>
            </w:r>
            <w:r>
              <w:rPr>
                <w:rStyle w:val="row-content-rich-text"/>
                <w:i/>
              </w:rPr>
              <w:t xml:space="preserve">Principal referral and specialist women’s and children’s hospitals</w:t>
            </w:r>
            <w:r>
              <w:rPr>
                <w:rStyle w:val="row-content-rich-text"/>
              </w:rPr>
              <w:t xml:space="preserve">), peer group B (</w:t>
            </w:r>
            <w:r>
              <w:rPr>
                <w:rStyle w:val="row-content-rich-text"/>
                <w:i/>
              </w:rPr>
              <w:t xml:space="preserve">Large hospitals</w:t>
            </w:r>
            <w:r>
              <w:rPr>
                <w:rStyle w:val="row-content-rich-text"/>
              </w:rPr>
              <w:t xml:space="preserve">) and the Mersey Community Hospital.  For the 2016 and this reporting period, the scope of the indicator has been increased to all public hospitals reporting to the NNAPEDCD. Data for 2013–14 have previously been supplied for the revised scope.  It is not possible to provide comparable data for the years prior to 2013–14, thus data for 2012–13 and previous years for this indicator are not directly comparable with data for 2013–14 and subsequent years.</w:t>
            </w:r>
          </w:p>
          <w:p>
            <w:pPr>
              <w:spacing w:after="160"/>
            </w:pPr>
            <w:r>
              <w:rPr>
                <w:rStyle w:val="row-content-rich-text"/>
              </w:rPr>
              <w:t xml:space="preserve">For 2013–14, 2014–15 and 2015–16,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spacing w:after="160"/>
            </w:pPr>
            <w:r>
              <w:rPr>
                <w:rStyle w:val="row-content-rich-text"/>
              </w:rPr>
              <w:t xml:space="preserve">The analyses by remoteness and socioeconomic status are based on the Statistical Area Level 2 (SA2) of usual residence of the patient. However, data are reported by jurisdiction of presentation, regardless of the jurisdiction of usual residence. Hence, data represent the proportion of patients living in each remoteness area or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For 2015–16, the SEIFA scores for each SA2 are derived from 2011 Census data and represent the attributes of the population in that SA2 in 2011.</w:t>
            </w:r>
          </w:p>
          <w:p>
            <w:pPr/>
            <w:r>
              <w:rPr>
                <w:rStyle w:val="row-content-rich-text"/>
              </w:rPr>
              <w:t xml:space="preserve">Other Australians includes presentations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Most emergency presentations occur in </w:t>
            </w:r>
            <w:r>
              <w:rPr>
                <w:rStyle w:val="row-content-rich-text"/>
                <w:i/>
              </w:rPr>
              <w:t xml:space="preserve">Major cities</w:t>
            </w:r>
            <w:r>
              <w:rPr>
                <w:rStyle w:val="row-content-rich-text"/>
              </w:rPr>
              <w:t xml:space="preserve">. Consequently, the data may not cover areas where the proportion of Indigenous Australians (compared with other Australians) is higher than average. Similarly, disaggregation by socioeconomic status and remoteness should be interpreted with caution.</w:t>
            </w:r>
          </w:p>
          <w:p>
            <w:pPr>
              <w:spacing w:after="160"/>
            </w:pPr>
            <w:r>
              <w:rPr>
                <w:rStyle w:val="row-content-rich-text"/>
              </w:rPr>
              <w:t xml:space="preserve">Comparability across jurisdictions may be impacted by variation in the assignment of triage categories.</w:t>
            </w:r>
          </w:p>
          <w:p>
            <w:pPr/>
            <w:r>
              <w:rPr>
                <w:rStyle w:val="row-content-rich-text"/>
              </w:rPr>
              <w:t xml:space="preserve">For 2015–16, Queensland provided data to the NNAPEDCD using the NAPEDC DSS, while all other states and territories provided data to the NNAPEDCD using the NAPEDC NMDS specification. Therefore, Queensland data may not be entirely comparable with data provided for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2015–16 are consistent with data reported for the NNAPEDCD for previous years for individual hospitals.  However, as discussed in the Relevance section above, the scope of the indicator has been increased to all public hospitals reporting to the NNAPEDCD. Data for 2013–14 have previously been resupplied for the revised scope.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p>
            <w:pPr>
              <w:spacing w:after="160"/>
            </w:pPr>
            <w:r>
              <w:rPr>
                <w:rStyle w:val="row-content-rich-text"/>
              </w:rPr>
              <w:t xml:space="preserve">The AIHW has developed a revised peer grouping for analysing and interpreting hospitals statistics and performance information. (See </w:t>
            </w:r>
            <w:r>
              <w:rPr>
                <w:rStyle w:val="row-content-rich-text"/>
                <w:i/>
              </w:rPr>
              <w:t xml:space="preserve">Australian hospital peer groups </w:t>
            </w:r>
            <w:r>
              <w:rPr>
                <w:rStyle w:val="row-content-rich-text"/>
              </w:rPr>
              <w:t xml:space="preserve">(AIHW 2015)). Peer group data calculated for this indicator for previous reports has been calculated using the previous AIHW peer group classification.  Peer group data for this report has been calculated using the current AIHW peer group classification.  Data reported using the previous peer group classification is not comparable with data reported using the current AIHW peer group classification.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eight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2013–14, 2014–15 and 2015–16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2013–14, 2014–15 and 2015–16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fe67d09080446f">
              <w:r>
                <w:rPr>
                  <w:rStyle w:val="Hyperlink"/>
                </w:rPr>
                <w:t xml:space="preserve">National Healthcare Agreement: PI 21a-Waiting times for emergency department care: proportion seen on time, 2016 QS</w:t>
              </w:r>
            </w:hyperlink>
          </w:p>
          <w:p>
            <w:pPr>
              <w:pStyle w:val="registration-status"/>
              <w:spacing w:before="0" w:after="0"/>
            </w:pPr>
            <w:hyperlink w:history="true" r:id="R3e75784bd29f4e49">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8e459fb738014651">
              <w:r>
                <w:rPr>
                  <w:rStyle w:val="Hyperlink"/>
                </w:rPr>
                <w:t xml:space="preserve">National Healthcare Agreement: PI 21a-Waiting times for emergency department care: proportion seen on time, 2018 QS</w:t>
              </w:r>
            </w:hyperlink>
          </w:p>
          <w:p>
            <w:pPr>
              <w:pStyle w:val="registration-status"/>
              <w:spacing w:before="0" w:after="0"/>
            </w:pPr>
            <w:hyperlink w:history="true" r:id="R9a02161ac61f455e">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38b355dec8443ae">
              <w:r>
                <w:rPr>
                  <w:rStyle w:val="Hyperlink"/>
                </w:rPr>
                <w:t xml:space="preserve">National Healthcare Agreement: PI 21a–Waiting times for emergency hospital care: Proportion seen on time, 2017</w:t>
              </w:r>
            </w:hyperlink>
          </w:p>
          <w:p>
            <w:pPr>
              <w:pStyle w:val="registration-status"/>
              <w:spacing w:before="0" w:after="0"/>
            </w:pPr>
            <w:hyperlink w:history="true" r:id="R9961b7619a7c4a0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018816ccdf6d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55452f9f7d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816ccdf6d4e73" /><Relationship Type="http://schemas.openxmlformats.org/officeDocument/2006/relationships/header" Target="/word/header1.xml" Id="R5a0a0521093f4c56" /><Relationship Type="http://schemas.openxmlformats.org/officeDocument/2006/relationships/settings" Target="/word/settings.xml" Id="Reb703fea10c047e0" /><Relationship Type="http://schemas.openxmlformats.org/officeDocument/2006/relationships/styles" Target="/word/styles.xml" Id="Rac06f358576e4c41" /><Relationship Type="http://schemas.openxmlformats.org/officeDocument/2006/relationships/numbering" Target="/word/numbering.xml" Id="R92aad252596b43a9" /><Relationship Type="http://schemas.openxmlformats.org/officeDocument/2006/relationships/hyperlink" Target="https://meteor-uat.aihw.gov.au/RegistrationAuthority/14" TargetMode="External" Id="R3c21b51e1c8b48d6" /><Relationship Type="http://schemas.openxmlformats.org/officeDocument/2006/relationships/hyperlink" Target="https://www.legislation.gov.au/Series/C2004A03450" TargetMode="External" Id="Ra53c20f201994da4" /><Relationship Type="http://schemas.openxmlformats.org/officeDocument/2006/relationships/hyperlink" Target="https://www.legislation.gov.au/Series/C2004A03712" TargetMode="External" Id="R5fab349fce874d6f" /><Relationship Type="http://schemas.openxmlformats.org/officeDocument/2006/relationships/hyperlink" Target="http://www.aihw.gov.au/" TargetMode="External" Id="Rf228aa48612f4465" /><Relationship Type="http://schemas.openxmlformats.org/officeDocument/2006/relationships/hyperlink" Target="http://www.aihw.gov.au/nhissc/" TargetMode="External" Id="R686a080d1e444326" /><Relationship Type="http://schemas.openxmlformats.org/officeDocument/2006/relationships/hyperlink" Target="https://meteor-uat.aihw.gov.au/content/182135" TargetMode="External" Id="R5ac5aa7938734074" /><Relationship Type="http://schemas.openxmlformats.org/officeDocument/2006/relationships/hyperlink" Target="http://www.aihw.gov.au/hospitals/" TargetMode="External" Id="R57117ee3e488469d" /><Relationship Type="http://schemas.openxmlformats.org/officeDocument/2006/relationships/hyperlink" Target="https://meteor-uat.aihw.gov.au/content/268110" TargetMode="External" Id="Ra1c3d08c0bf2428f" /><Relationship Type="http://schemas.openxmlformats.org/officeDocument/2006/relationships/hyperlink" Target="https://meteor-uat.aihw.gov.au/content/621200" TargetMode="External" Id="Rc7b2e41723324b33" /><Relationship Type="http://schemas.openxmlformats.org/officeDocument/2006/relationships/hyperlink" Target="https://meteor-uat.aihw.gov.au/content/600104" TargetMode="External" Id="R28fe67d09080446f" /><Relationship Type="http://schemas.openxmlformats.org/officeDocument/2006/relationships/hyperlink" Target="https://meteor-uat.aihw.gov.au/RegistrationAuthority/14" TargetMode="External" Id="R3e75784bd29f4e49" /><Relationship Type="http://schemas.openxmlformats.org/officeDocument/2006/relationships/hyperlink" Target="https://meteor-uat.aihw.gov.au/content/681617" TargetMode="External" Id="R8e459fb738014651" /><Relationship Type="http://schemas.openxmlformats.org/officeDocument/2006/relationships/hyperlink" Target="https://meteor-uat.aihw.gov.au/RegistrationAuthority/14" TargetMode="External" Id="R9a02161ac61f455e" /><Relationship Type="http://schemas.openxmlformats.org/officeDocument/2006/relationships/hyperlink" Target="https://meteor-uat.aihw.gov.au/content/630043" TargetMode="External" Id="R438b355dec8443ae" /><Relationship Type="http://schemas.openxmlformats.org/officeDocument/2006/relationships/hyperlink" Target="https://meteor-uat.aihw.gov.au/RegistrationAuthority/14" TargetMode="External" Id="R9961b7619a7c4a0c" /></Relationships>
</file>

<file path=word/_rels/header1.xml.rels>&#65279;<?xml version="1.0" encoding="utf-8"?><Relationships xmlns="http://schemas.openxmlformats.org/package/2006/relationships"><Relationship Type="http://schemas.openxmlformats.org/officeDocument/2006/relationships/image" Target="/media/image.png" Id="R9b55452f9f7d44d1" /></Relationships>
</file>