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f60af4be7b4ed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4d3889576d468d">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Separations are reported by the jurisdiction of usual residence of the patient, not the jurisdiction of hospitalisation. </w:t>
            </w:r>
          </w:p>
          <w:p>
            <w:pPr>
              <w:pStyle w:val="ListParagraph"/>
              <w:numPr>
                <w:ilvl w:val="0"/>
                <w:numId w:val="2"/>
              </w:numPr>
            </w:pPr>
            <w:r>
              <w:rPr>
                <w:rStyle w:val="row-content-rich-text"/>
              </w:rPr>
              <w:t xml:space="preserve">The specification for this performance indicator was revised for the 2015 reporting period. The Australian Institute of Health and Welfare (AIHW) recalculated this indicator for the period 2007–08 to 2012–13 using the new specification. Therefore, the data are not comparable to data calculated in previous reporting periods. Data provided for this 2017 reporting period use the new specification and are comparable to data provided in the 2015 and 2016 reporting periods.</w:t>
            </w:r>
          </w:p>
          <w:p>
            <w:pPr>
              <w:pStyle w:val="ListParagraph"/>
              <w:numPr>
                <w:ilvl w:val="0"/>
                <w:numId w:val="2"/>
              </w:numPr>
            </w:pPr>
            <w:r>
              <w:rPr>
                <w:rStyle w:val="row-content-rich-text"/>
              </w:rPr>
              <w:t xml:space="preserve">Caution should be used in comparing data across reporting periods as changes between the International Statistical Classification of Diseases and Related Health Problems, Tenth Revision, Australian Modification (ICD-10-AM) 5th edition (used in 2007–08), ICD-10-AM 6th edition (used in 2008–09 and 2009–10), ICD-10-AM 7th edition (used in 2010–11, 2011–12 and 2012–13) and ICD-10-AM 8th edition (used in 2013–14 and 2014–15) and the associated Australian Coding Standards resulted in fluctuations in the reporting of diagnoses for diabetes (chronic category affected). These changes should also be taken into consideration in interpretation of these data against the National Healthcare Agreement performance benchmark for potentially preventable hospitalisations. In addition, changes to the Australian Coding Standard for </w:t>
            </w:r>
            <w:r>
              <w:rPr>
                <w:rStyle w:val="row-content-rich-text"/>
                <w:i/>
              </w:rPr>
              <w:t xml:space="preserve">Viral hepatitis</w:t>
            </w:r>
            <w:r>
              <w:rPr>
                <w:rStyle w:val="row-content-rich-text"/>
              </w:rPr>
              <w:t xml:space="preserve"> (ACS 0104), implemented in the 8th edition of ICD-10-AM will affect the comparability over time in the reporting of the vaccine-preventable category of potentially preventable hospitalisations, which includes counts for additional diagnoses of </w:t>
            </w:r>
            <w:r>
              <w:rPr>
                <w:rStyle w:val="row-content-rich-text"/>
                <w:i/>
              </w:rPr>
              <w:t xml:space="preserve">Hepatitis B</w:t>
            </w:r>
            <w:r>
              <w:rPr>
                <w:rStyle w:val="row-content-rich-text"/>
              </w:rPr>
              <w:t xml:space="preserve">.</w:t>
            </w:r>
          </w:p>
          <w:p>
            <w:pPr>
              <w:pStyle w:val="ListParagraph"/>
              <w:numPr>
                <w:ilvl w:val="0"/>
                <w:numId w:val="2"/>
              </w:numPr>
            </w:pPr>
            <w:r>
              <w:rPr>
                <w:rStyle w:val="row-content-rich-text"/>
              </w:rPr>
              <w:t xml:space="preserve">In addition, interpretation of the related performance benchmark over time is problematic because the benchmark is specified as a proportion of separations rather than a population rate, and admission practices vary across jurisdictions and over time.   </w:t>
            </w:r>
          </w:p>
          <w:p>
            <w:pPr>
              <w:pStyle w:val="ListParagraph"/>
              <w:numPr>
                <w:ilvl w:val="0"/>
                <w:numId w:val="2"/>
              </w:numPr>
            </w:pPr>
            <w:r>
              <w:rPr>
                <w:rStyle w:val="row-content-rich-text"/>
              </w:rPr>
              <w:t xml:space="preserve">The hospital separations data do not include episodes of non-admitted patient care provided in outpatient clinics or emergency departments. </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hyperlink w:history="true" r:id="R87a8eadf50464012">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7be6f3f0178b4034">
              <w:r>
                <w:rPr>
                  <w:rStyle w:val="Hyperlink"/>
                  <w:i/>
                </w:rPr>
                <w:t xml:space="preserve">Australian Institute of Health and Welfare Act 1987</w:t>
              </w:r>
            </w:hyperlink>
            <w:r>
              <w:rPr>
                <w:rStyle w:val="row-content-rich-text"/>
              </w:rPr>
              <w:t xml:space="preserve">, in conjunction with compliance to the </w:t>
            </w:r>
            <w:hyperlink w:history="true" r:id="Rf5111bea34e34bd5">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41a2928c0e24bcd">
              <w:r>
                <w:rPr>
                  <w:rStyle w:val="Hyperlink"/>
                </w:rPr>
                <w:t xml:space="preserve">www.aihw.gov.au</w:t>
              </w:r>
            </w:hyperlink>
            <w:r>
              <w:rPr>
                <w:rStyle w:val="row-content-rich-text"/>
              </w:rPr>
              <w:t xml:space="preserve">.  </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2c5e19e1102546d1">
              <w:r>
                <w:rPr>
                  <w:rStyle w:val="Hyperlink"/>
                </w:rPr>
                <w:t xml:space="preserve">http://www.aihw.gov.au/nhissc/</w:t>
              </w:r>
            </w:hyperlink>
            <w:r>
              <w:rPr>
                <w:rStyle w:val="row-content-rich-text"/>
              </w:rPr>
              <w:t xml:space="preserve">  </w:t>
            </w:r>
          </w:p>
          <w:p>
            <w:hyperlink w:history="true" r:id="R4b232297773748bf">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de96092aa9f44e1b">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Admitted patient care: 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National health data dictionary.</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65617079a0b342ca">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NHMD can be accessed on the AIHW website at:</w:t>
            </w:r>
          </w:p>
          <w:p>
            <w:hyperlink w:history="true" r:id="Ra1088fdbaa8c42ee">
              <w:r>
                <w:rPr>
                  <w:rStyle w:val="Hyperlink"/>
                </w:rPr>
                <w:t xml:space="preserve">/content/index.phtml/itemId/611030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state and territory, remoteness and socioeconomic status are based on the Statistical Area Level 2 (SA2) of usual residence of the patient, not the location of the hospital. Hence rates represent the number separations for patients living in each state/territory, remoteness area or SEIFA population group (regardless of the jurisdiction of the hospital they were admitted to) divided by the total number of people living in that remoteness area or SEIFA group in the state/territory.</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The SEIFA scores for each SA2 are derived from 2011 Census data and represent the attributes of the population in that SA2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2014–15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hyperlink w:history="true" r:id="R805dc2cd8ea843fc">
              <w:r>
                <w:rPr>
                  <w:rStyle w:val="Hyperlink"/>
                  <w:i/>
                </w:rPr>
                <w:t xml:space="preserve">Indigenous identification in hospital separations data: quality report</w:t>
              </w:r>
            </w:hyperlink>
            <w:r>
              <w:rPr>
                <w:rStyle w:val="row-content-rich-text"/>
              </w:rPr>
              <w:t xml:space="preserve">(AIHW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 was applied:</w:t>
            </w:r>
          </w:p>
          <w:p>
            <w:pPr>
              <w:pStyle w:val="ListParagraph"/>
              <w:numPr>
                <w:ilvl w:val="0"/>
                <w:numId w:val="4"/>
              </w:numPr>
            </w:pPr>
            <w:r>
              <w:rPr>
                <w:rStyle w:val="row-content-rich-text"/>
              </w:rPr>
              <w:t xml:space="preserve">rates were suppressed where the numerator was less than 5 and/or the denominator was less than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specification for this performance indicator was revised for the 2015 reporting period. The AIHW recalculated this indicator for the period 2007–08 to 2012–13 using the new specification. Therefore, the data are not comparable to data calculated in previous reporting periods. Data provided for this 2017 reporting period use the new specification and are comparable to data provided in the 2015 and 2016 reporting periods.</w:t>
            </w:r>
          </w:p>
          <w:p>
            <w:pPr>
              <w:spacing w:after="160"/>
            </w:pPr>
            <w:r>
              <w:rPr>
                <w:rStyle w:val="row-content-rich-text"/>
              </w:rPr>
              <w:t xml:space="preserve">For ICD-10-AM coding details, please refer to the specification for </w:t>
            </w:r>
            <w:hyperlink w:history="true" r:id="R4ec40ae15ca247a8">
              <w:r>
                <w:rPr>
                  <w:rStyle w:val="Hyperlink"/>
                </w:rPr>
                <w:t xml:space="preserve">National Healthcare Agreement Performance Indicator 18 - Selected potentially preventable hospitalisations, 2017</w:t>
              </w:r>
            </w:hyperlink>
            <w:r>
              <w:rPr>
                <w:rStyle w:val="row-content-rich-text"/>
              </w:rPr>
              <w:t xml:space="preserve">.</w:t>
            </w:r>
          </w:p>
          <w:p>
            <w:pPr>
              <w:spacing w:after="160"/>
            </w:pPr>
            <w:r>
              <w:rPr>
                <w:rStyle w:val="row-content-rich-text"/>
              </w:rPr>
              <w:t xml:space="preserve">However, caution should be used when comparing data across reporting periods as changes between the International Statistical Classification of Diseases and Related Health Problems, Tenth Revision, Australian Modification (ICD-10-AM) 5th edition (used in 2007–08), ICD-10-AM 6th edition (used in 2008–09 and 2009–10), ICD-10-AM 7th edition (used in 2010–11, 2011–12 and 2012–13) and ICD-10-AM 8th edition (used in 2013–14 and 2014–15)  and the associated Australian Coding Standards that resulted in fluctuations in the reporting of diagnoses for diabetes. In addition, changes to the Australian Coding Standard for </w:t>
            </w:r>
            <w:r>
              <w:rPr>
                <w:rStyle w:val="row-content-rich-text"/>
                <w:i/>
              </w:rPr>
              <w:t xml:space="preserve">Viral hepatitis</w:t>
            </w:r>
            <w:r>
              <w:rPr>
                <w:rStyle w:val="row-content-rich-text"/>
              </w:rPr>
              <w:t xml:space="preserve"> (ACS 0104), implemented in the 8th edition of ICD-10-AM will affect the comparability over time in the reporting of the vaccine-preventable category of potentially preventable hospitalisations, which includes counts for additional diagnoses of </w:t>
            </w:r>
            <w:r>
              <w:rPr>
                <w:rStyle w:val="row-content-rich-text"/>
                <w:i/>
              </w:rPr>
              <w:t xml:space="preserve">Hepatitis B</w:t>
            </w:r>
            <w:r>
              <w:rPr>
                <w:rStyle w:val="row-content-rich-text"/>
              </w:rPr>
              <w:t xml:space="preserve">.</w:t>
            </w:r>
          </w:p>
          <w:p>
            <w:pPr>
              <w:spacing w:after="160"/>
            </w:pPr>
            <w:r>
              <w:rPr>
                <w:rStyle w:val="row-content-rich-text"/>
              </w:rPr>
              <w:t xml:space="preserve">In addition, Tasmanian data are not comparable over time as 2008–09 data for Tasmania does not include 2 private hospitals that were included in 2007–08 and 2009–10 data reported in the National Healthcare Agreement performance reports.</w:t>
            </w:r>
          </w:p>
          <w:p>
            <w:pPr>
              <w:spacing w:after="160"/>
            </w:pPr>
            <w:r>
              <w:rPr>
                <w:rStyle w:val="row-content-rich-text"/>
              </w:rPr>
              <w:t xml:space="preserve">Interpretation of the related performance benchmark over time is also problematic because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 the data provided in 2013–14 (and interim years) may not be directly comparable to the baseline data from which the target is based.</w:t>
            </w:r>
          </w:p>
          <w:p>
            <w:pPr>
              <w:spacing w:after="160"/>
            </w:pPr>
            <w:r>
              <w:rPr>
                <w:rStyle w:val="row-content-rich-text"/>
              </w:rPr>
              <w:t xml:space="preserve">National-level data disaggregated by Indigenous status for 2007–08 to 2009–10 included data from New South Wales, Victoria, Queensland, Western Australia, south Australia and the Northern Territory. National-level data disaggregated by Indigenous status for 2010–11 and subsequent years includes data from all eight states and territories. Therefore, data disaggregated by Indigenous status from 2007–08, 2008–09 and 2009–10 is not comparable to data for 2010–11 and subsequent years.   </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SEIFA, based on the 2011 ABS Census of Population and Housing. The new remoteness areas are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RA 2006.  Data for 2012–13, 2013–14 and 2014–15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Indigenous identification in hospital separations data: quality report. Cat. no. IHW 90. Canberra: AIHW. Viewed 22 June 2017, </w:t>
            </w:r>
            <w:hyperlink w:history="true" r:id="R98d5d599666e4fdf">
              <w:r>
                <w:rPr>
                  <w:rStyle w:val="Hyperlink"/>
                </w:rPr>
                <w:t xml:space="preserve">http://www.aihw.gov.au/publication-detail/?id=60129543215</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a78f4779d74ec7">
              <w:r>
                <w:rPr>
                  <w:rStyle w:val="Hyperlink"/>
                </w:rPr>
                <w:t xml:space="preserve">National Healthcare Agreement: PI 18-Selected potentially preventable hospitalisations, 2016 QS</w:t>
              </w:r>
            </w:hyperlink>
          </w:p>
          <w:p>
            <w:pPr>
              <w:pStyle w:val="registration-status"/>
              <w:spacing w:before="0" w:after="0"/>
            </w:pPr>
            <w:hyperlink w:history="true" r:id="Ra231f1a2a7984d2a">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8aecefc4a5184887">
              <w:r>
                <w:rPr>
                  <w:rStyle w:val="Hyperlink"/>
                </w:rPr>
                <w:t xml:space="preserve">National Healthcare Agreement: PI 18-Selected potentially preventable hospitalisations, 2018 QS</w:t>
              </w:r>
            </w:hyperlink>
          </w:p>
          <w:p>
            <w:pPr>
              <w:pStyle w:val="registration-status"/>
              <w:spacing w:before="0" w:after="0"/>
            </w:pPr>
            <w:hyperlink w:history="true" r:id="Re586b33e15014c13">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c646403cf6b4eb4">
              <w:r>
                <w:rPr>
                  <w:rStyle w:val="Hyperlink"/>
                </w:rPr>
                <w:t xml:space="preserve">National Healthcare Agreement: PI 18–Selected potentially preventable hospitalisations, 2017</w:t>
              </w:r>
            </w:hyperlink>
          </w:p>
          <w:p>
            <w:pPr>
              <w:pStyle w:val="registration-status"/>
              <w:spacing w:before="0" w:after="0"/>
            </w:pPr>
            <w:hyperlink w:history="true" r:id="R0ffa10a660f5476e">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9ad8679d27b04f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032ff627a94f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d8679d27b04fc5" /><Relationship Type="http://schemas.openxmlformats.org/officeDocument/2006/relationships/header" Target="/word/header1.xml" Id="Rbac3bf4cbcdc4398" /><Relationship Type="http://schemas.openxmlformats.org/officeDocument/2006/relationships/settings" Target="/word/settings.xml" Id="Rb1a2476a6c64430a" /><Relationship Type="http://schemas.openxmlformats.org/officeDocument/2006/relationships/styles" Target="/word/styles.xml" Id="Rbbfb022ad9fe4081" /><Relationship Type="http://schemas.openxmlformats.org/officeDocument/2006/relationships/numbering" Target="/word/numbering.xml" Id="R88c8c2c8bea6408a" /><Relationship Type="http://schemas.openxmlformats.org/officeDocument/2006/relationships/hyperlink" Target="https://meteor-uat.aihw.gov.au/RegistrationAuthority/14" TargetMode="External" Id="R194d3889576d468d" /><Relationship Type="http://schemas.openxmlformats.org/officeDocument/2006/relationships/hyperlink" Target="https://www.legislation.gov.au/Series/C2004A03450" TargetMode="External" Id="R87a8eadf50464012" /><Relationship Type="http://schemas.openxmlformats.org/officeDocument/2006/relationships/hyperlink" Target="https://www.legislation.gov.au/Series/C2004A03450" TargetMode="External" Id="R7be6f3f0178b4034" /><Relationship Type="http://schemas.openxmlformats.org/officeDocument/2006/relationships/hyperlink" Target="https://www.legislation.gov.au/Series/C2004A03712" TargetMode="External" Id="Rf5111bea34e34bd5" /><Relationship Type="http://schemas.openxmlformats.org/officeDocument/2006/relationships/hyperlink" Target="http://www.aihw.gov.au/" TargetMode="External" Id="R441a2928c0e24bcd" /><Relationship Type="http://schemas.openxmlformats.org/officeDocument/2006/relationships/hyperlink" Target="http://www.aihw.gov.au/nhissc/" TargetMode="External" Id="R2c5e19e1102546d1" /><Relationship Type="http://schemas.openxmlformats.org/officeDocument/2006/relationships/hyperlink" Target="https://meteor-uat.aihw.gov.au/content/182135" TargetMode="External" Id="R4b232297773748bf" /><Relationship Type="http://schemas.openxmlformats.org/officeDocument/2006/relationships/hyperlink" Target="http://www.aihw.gov.au/hospitals/" TargetMode="External" Id="Rde96092aa9f44e1b" /><Relationship Type="http://schemas.openxmlformats.org/officeDocument/2006/relationships/hyperlink" Target="https://meteor-uat.aihw.gov.au/content/268110" TargetMode="External" Id="R65617079a0b342ca" /><Relationship Type="http://schemas.openxmlformats.org/officeDocument/2006/relationships/hyperlink" Target="https://meteor-uat.aihw.gov.au/content/611030" TargetMode="External" Id="Ra1088fdbaa8c42ee" /><Relationship Type="http://schemas.openxmlformats.org/officeDocument/2006/relationships/hyperlink" Target="http://www.aihw.gov.au/publication-detail/?id=60129543215" TargetMode="External" Id="R805dc2cd8ea843fc" /><Relationship Type="http://schemas.openxmlformats.org/officeDocument/2006/relationships/hyperlink" Target="https://meteor-uat.aihw.gov.au/content/630028" TargetMode="External" Id="R4ec40ae15ca247a8" /><Relationship Type="http://schemas.openxmlformats.org/officeDocument/2006/relationships/hyperlink" Target="http://www.aihw.gov.au/publication-detail/?id=60129543215" TargetMode="External" Id="R98d5d599666e4fdf" /><Relationship Type="http://schemas.openxmlformats.org/officeDocument/2006/relationships/hyperlink" Target="https://meteor-uat.aihw.gov.au/content/600098" TargetMode="External" Id="R60a78f4779d74ec7" /><Relationship Type="http://schemas.openxmlformats.org/officeDocument/2006/relationships/hyperlink" Target="https://meteor-uat.aihw.gov.au/RegistrationAuthority/14" TargetMode="External" Id="Ra231f1a2a7984d2a" /><Relationship Type="http://schemas.openxmlformats.org/officeDocument/2006/relationships/hyperlink" Target="https://meteor-uat.aihw.gov.au/content/681623" TargetMode="External" Id="R8aecefc4a5184887" /><Relationship Type="http://schemas.openxmlformats.org/officeDocument/2006/relationships/hyperlink" Target="https://meteor-uat.aihw.gov.au/RegistrationAuthority/14" TargetMode="External" Id="Re586b33e15014c13" /><Relationship Type="http://schemas.openxmlformats.org/officeDocument/2006/relationships/hyperlink" Target="https://meteor-uat.aihw.gov.au/content/630028" TargetMode="External" Id="R6c646403cf6b4eb4" /><Relationship Type="http://schemas.openxmlformats.org/officeDocument/2006/relationships/hyperlink" Target="https://meteor-uat.aihw.gov.au/RegistrationAuthority/14" TargetMode="External" Id="R0ffa10a660f5476e" /></Relationships>
</file>

<file path=word/_rels/header1.xml.rels>&#65279;<?xml version="1.0" encoding="utf-8"?><Relationships xmlns="http://schemas.openxmlformats.org/package/2006/relationships"><Relationship Type="http://schemas.openxmlformats.org/officeDocument/2006/relationships/image" Target="/media/image.png" Id="R1c032ff627a94fc6" /></Relationships>
</file>