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c6799f88dd41f9" /></Relationships>
</file>

<file path=word/document.xml><?xml version="1.0" encoding="utf-8"?>
<w:document xmlns:r="http://schemas.openxmlformats.org/officeDocument/2006/relationships" xmlns:w="http://schemas.openxmlformats.org/wordprocessingml/2006/main">
  <w:body>
    <w:p>
      <w:pPr>
        <w:pStyle w:val="Title"/>
      </w:pPr>
      <w:r>
        <w:t>Female (mother)—postpartum perineal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(mother)—postpartum 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perineal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c5893426e3435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the perineum following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b0363da9094b6b">
              <w:r>
                <w:rPr>
                  <w:rStyle w:val="Hyperlink"/>
                </w:rPr>
                <w:t xml:space="preserve">Female (mother)—postpartum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c0e476f82a481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the perineum following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54a772e84d468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ae8bce0fd8491f">
              <w:r>
                <w:rPr>
                  <w:rStyle w:val="Hyperlink"/>
                </w:rPr>
                <w:t xml:space="preserve">Postpartum perineal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991779a36043ce">
              <w:r>
                <w:rPr>
                  <w:rStyle w:val="Hyperlink"/>
                </w:rPr>
                <w:t xml:space="preserve">Perineal status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d4590ba7da4d2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state of the perineum.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delivery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vulva.</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delivery,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delivery,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delivery,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laceration occurred during delivery and an episiotomy was performed, both the degree of laceration and the episiotomy should be recorded. If an episiotomy is performed, the perineum cannot be intact.</w:t>
            </w:r>
          </w:p>
          <w:p>
            <w:pPr>
              <w:spacing w:after="160"/>
            </w:pPr>
            <w:r>
              <w:rPr>
                <w:rStyle w:val="row-content-rich-text"/>
              </w:rPr>
              <w:t xml:space="preserve">Code 6 has been omitted as it is no longer in use. For information about its meaning in previous data elements, see superseded versions.</w:t>
            </w:r>
          </w:p>
          <w:p>
            <w:pPr/>
            <w:r>
              <w:rPr>
                <w:rStyle w:val="row-content-rich-text"/>
              </w:rPr>
              <w:t xml:space="preserve">While 4th degree laceration is more severe than an episiotomy, this category has not been placed in order of clinical significance within the value domain.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2017. The International Statistical Classification of Diseases and Related Health Problems, Tenth Revision, Australian Modification (ICD-10-AM), Tenth edn. Tabular list of diseases and Alphabetic index of diseases. Sydney: ACCD,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entries of permissible values are allowed.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Perineal laceration (tear) may cause significant maternal morbidity in the postnatal period. Episiotomy is an indicator of management during labour and, to some extent,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3b2517598543d4">
              <w:r>
                <w:rPr>
                  <w:rStyle w:val="Hyperlink"/>
                </w:rPr>
                <w:t xml:space="preserve">Female (mother)—postpartum perineal status, code N[N]</w:t>
              </w:r>
            </w:hyperlink>
          </w:p>
          <w:p>
            <w:pPr>
              <w:pStyle w:val="registration-status"/>
              <w:spacing w:before="0" w:after="0"/>
            </w:pPr>
            <w:hyperlink w:history="true" r:id="R0ce439f4c1514a56">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75c115a4116540c4">
              <w:r>
                <w:rPr>
                  <w:rStyle w:val="Hyperlink"/>
                </w:rPr>
                <w:t xml:space="preserve">Female—postpartum perineal status, code N[N]</w:t>
              </w:r>
            </w:hyperlink>
          </w:p>
          <w:p>
            <w:pPr>
              <w:pStyle w:val="registration-status"/>
              <w:spacing w:before="0" w:after="0"/>
            </w:pPr>
            <w:hyperlink w:history="true" r:id="R792c9497859443c0">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b3cffd52354754">
              <w:r>
                <w:rPr>
                  <w:rStyle w:val="Hyperlink"/>
                </w:rPr>
                <w:t xml:space="preserve">Perinatal NMDS 2018-19</w:t>
              </w:r>
            </w:hyperlink>
          </w:p>
          <w:p>
            <w:pPr>
              <w:pStyle w:val="registration-status"/>
              <w:spacing w:before="0" w:after="0"/>
            </w:pPr>
            <w:hyperlink w:history="true" r:id="Reb369d07e8594b7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fc0a502c9fbd40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710e3e33164e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0a502c9fbd400c" /><Relationship Type="http://schemas.openxmlformats.org/officeDocument/2006/relationships/header" Target="/word/header1.xml" Id="R9b74870e14214e05" /><Relationship Type="http://schemas.openxmlformats.org/officeDocument/2006/relationships/settings" Target="/word/settings.xml" Id="Rad6757a600484681" /><Relationship Type="http://schemas.openxmlformats.org/officeDocument/2006/relationships/styles" Target="/word/styles.xml" Id="Re506ad856c8a40b9" /><Relationship Type="http://schemas.openxmlformats.org/officeDocument/2006/relationships/numbering" Target="/word/numbering.xml" Id="Rbdcbbbbf57ce4af8" /><Relationship Type="http://schemas.openxmlformats.org/officeDocument/2006/relationships/hyperlink" Target="https://meteor-uat.aihw.gov.au/RegistrationAuthority/14" TargetMode="External" Id="R82c5893426e34350" /><Relationship Type="http://schemas.openxmlformats.org/officeDocument/2006/relationships/hyperlink" Target="https://meteor-uat.aihw.gov.au/content/269457" TargetMode="External" Id="R9fb0363da9094b6b" /><Relationship Type="http://schemas.openxmlformats.org/officeDocument/2006/relationships/hyperlink" Target="https://meteor-uat.aihw.gov.au/RegistrationAuthority/14" TargetMode="External" Id="R73c0e476f82a4815" /><Relationship Type="http://schemas.openxmlformats.org/officeDocument/2006/relationships/hyperlink" Target="https://meteor-uat.aihw.gov.au/content/269000" TargetMode="External" Id="R6d54a772e84d4680" /><Relationship Type="http://schemas.openxmlformats.org/officeDocument/2006/relationships/hyperlink" Target="https://meteor-uat.aihw.gov.au/content/269054" TargetMode="External" Id="R20ae8bce0fd8491f" /><Relationship Type="http://schemas.openxmlformats.org/officeDocument/2006/relationships/hyperlink" Target="https://meteor-uat.aihw.gov.au/content/630087" TargetMode="External" Id="R11991779a36043ce" /><Relationship Type="http://schemas.openxmlformats.org/officeDocument/2006/relationships/hyperlink" Target="https://meteor-uat.aihw.gov.au/RegistrationAuthority/14" TargetMode="External" Id="Rf6d4590ba7da4d25" /><Relationship Type="http://schemas.openxmlformats.org/officeDocument/2006/relationships/hyperlink" Target="https://meteor-uat.aihw.gov.au/content/423659" TargetMode="External" Id="R573b2517598543d4" /><Relationship Type="http://schemas.openxmlformats.org/officeDocument/2006/relationships/hyperlink" Target="https://meteor-uat.aihw.gov.au/RegistrationAuthority/14" TargetMode="External" Id="R0ce439f4c1514a56" /><Relationship Type="http://schemas.openxmlformats.org/officeDocument/2006/relationships/hyperlink" Target="https://meteor-uat.aihw.gov.au/content/695391" TargetMode="External" Id="R75c115a4116540c4" /><Relationship Type="http://schemas.openxmlformats.org/officeDocument/2006/relationships/hyperlink" Target="https://meteor-uat.aihw.gov.au/RegistrationAuthority/14" TargetMode="External" Id="R792c9497859443c0" /><Relationship Type="http://schemas.openxmlformats.org/officeDocument/2006/relationships/hyperlink" Target="https://meteor-uat.aihw.gov.au/content/668811" TargetMode="External" Id="R44b3cffd52354754" /><Relationship Type="http://schemas.openxmlformats.org/officeDocument/2006/relationships/hyperlink" Target="https://meteor-uat.aihw.gov.au/RegistrationAuthority/14" TargetMode="External" Id="Reb369d07e8594b76" /></Relationships>
</file>

<file path=word/_rels/header1.xml.rels>&#65279;<?xml version="1.0" encoding="utf-8"?><Relationships xmlns="http://schemas.openxmlformats.org/package/2006/relationships"><Relationship Type="http://schemas.openxmlformats.org/officeDocument/2006/relationships/image" Target="/media/image.png" Id="Rd2710e3e33164e96" /></Relationships>
</file>