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fcf3313edb4e9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b–Better health: halve the mortality gap for Indigenous children under five by 2018,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b–Better health: halve the mortality gap for Indigenous children under five by 2018,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b–Halve the mortality gap for Indigenous children under five by 2018,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629970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6d25b22cad4f37">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Difference in the mortality rate between Indigenous children aged 0–4 years and non-Indigenous children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62649e05ce6403a">
              <w:r>
                <w:rPr>
                  <w:rStyle w:val="Hyperlink"/>
                </w:rPr>
                <w:t xml:space="preserve">National Healthcare Agreement (2017)</w:t>
              </w:r>
            </w:hyperlink>
          </w:p>
          <w:p>
            <w:pPr>
              <w:pStyle w:val="registration-status"/>
              <w:spacing w:before="0" w:after="0"/>
            </w:pPr>
            <w:hyperlink w:history="true" r:id="R4ef44524474b4fcf">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3d5c44fd7314006">
              <w:r>
                <w:rPr>
                  <w:rStyle w:val="Hyperlink"/>
                </w:rPr>
                <w:t xml:space="preserve">Prevention</w:t>
              </w:r>
            </w:hyperlink>
          </w:p>
          <w:p>
            <w:pPr>
              <w:pStyle w:val="registration-status"/>
              <w:spacing w:before="0" w:after="0"/>
            </w:pPr>
            <w:hyperlink w:history="true" r:id="Rd55b08edaca04118">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Presented as number of deaths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 (Numerator ÷ Denominator)</w:t>
            </w:r>
          </w:p>
          <w:p>
            <w:pPr>
              <w:spacing w:after="160"/>
            </w:pPr>
            <w:r>
              <w:rPr>
                <w:rStyle w:val="row-content-rich-text"/>
              </w:rPr>
              <w:t xml:space="preserve">Variability bands are to be calculated for rates using the following method for estimating 95% confidence intervals:</w:t>
            </w:r>
          </w:p>
          <w:p>
            <w:pPr>
              <w:spacing w:after="160"/>
            </w:pPr>
            <w:r>
              <w:rPr>
                <w:rStyle w:val="row-content-rich-text"/>
              </w:rPr>
              <w:t xml:space="preserve">CI (CR) = CR ± 1.96 x (CR/√d)</w:t>
            </w:r>
          </w:p>
          <w:p>
            <w:pPr>
              <w:spacing w:after="160"/>
            </w:pPr>
            <w:r>
              <w:rPr>
                <w:rStyle w:val="row-content-rich-text"/>
              </w:rPr>
              <w:t xml:space="preserve">where d = number of deaths</w:t>
            </w:r>
          </w:p>
          <w:p>
            <w:pPr>
              <w:spacing w:after="160"/>
              <w:jc w:val="left"/>
            </w:pPr>
            <w:r>
              <w:rPr>
                <w:rStyle w:val="row-content-rich-text"/>
              </w:rPr>
              <w:t xml:space="preserve">         CI = confidence interval</w:t>
            </w:r>
          </w:p>
          <w:p>
            <w:pPr>
              <w:spacing w:after="160"/>
              <w:jc w:val="left"/>
            </w:pPr>
            <w:r>
              <w:rPr>
                <w:rStyle w:val="row-content-rich-text"/>
              </w:rPr>
              <w:t xml:space="preserve">         CR = crude rate</w:t>
            </w:r>
          </w:p>
          <w:p>
            <w:pPr>
              <w:jc w:val="left"/>
            </w:pPr>
            <w:r>
              <w:rPr>
                <w:rStyle w:val="row-content-rich-text"/>
              </w:rPr>
              <w:t xml:space="preserve">Rate ratios and rate differences are calculated for comparing Indigenous and non-Indigenous Australians. The rates for a single year use single year data for the numerator, and the average of three years (with the reference year as the middle year) for the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among children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4a3668c9cc14043">
              <w:r>
                <w:rPr>
                  <w:rStyle w:val="Hyperlink"/>
                </w:rPr>
                <w:t xml:space="preserve">Person—age, total years N[NN]</w:t>
              </w:r>
            </w:hyperlink>
          </w:p>
          <w:p>
            <w:r>
              <w:rPr>
                <w:rStyle w:val="row-content"/>
                <w:b/>
              </w:rPr>
              <w:t xml:space="preserve">Data Source</w:t>
            </w:r>
          </w:p>
          <w:p>
            <w:hyperlink w:history="true" r:id="Rbafe709011d548c6">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d1d9838320704975">
              <w:r>
                <w:rPr>
                  <w:rStyle w:val="Hyperlink"/>
                </w:rPr>
                <w:t xml:space="preserve">ABS Census of Population and Housing Post-Enumeration Survey</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Source</w:t>
            </w:r>
          </w:p>
          <w:p>
            <w:hyperlink w:history="true" r:id="Rfcb01a11237b4e2c">
              <w:r>
                <w:rPr>
                  <w:rStyle w:val="Hyperlink"/>
                </w:rPr>
                <w:t xml:space="preserve">ABS birth registration data</w:t>
              </w:r>
            </w:hyperlink>
          </w:p>
          <w:p>
            <w:r>
              <w:rPr>
                <w:rStyle w:val="row-content"/>
              </w:rPr>
              <w:t xml:space="preserve"> </w:t>
            </w:r>
          </w:p>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7ed163618a8044b4">
              <w:r>
                <w:rPr>
                  <w:rStyle w:val="Hyperlink"/>
                </w:rPr>
                <w:t xml:space="preserve">ABS Estimated resident population (2011 Census-based)</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2015—Nationally, by Indigenous status (not reported).</w:t>
            </w:r>
          </w:p>
          <w:p>
            <w:pPr/>
            <w:r>
              <w:rPr>
                <w:rStyle w:val="row-content-rich-text"/>
              </w:rPr>
              <w:t xml:space="preserve">Some disaggregations may result in numbers too small for publication. Disaggregation by Indigenous status will be based on data only from jurisdictions for which the quality of Indigenous identification is considered acceptable—NSW, Qld, WA, SA and 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aababe14910402e">
              <w:r>
                <w:rPr>
                  <w:rStyle w:val="Hyperlink"/>
                </w:rPr>
                <w:t xml:space="preserve">Person—Indigenous status, code N</w:t>
              </w:r>
            </w:hyperlink>
          </w:p>
          <w:p>
            <w:r>
              <w:rPr>
                <w:rStyle w:val="row-content"/>
                <w:b/>
              </w:rPr>
              <w:t xml:space="preserve">Data Source</w:t>
            </w:r>
          </w:p>
          <w:p>
            <w:hyperlink w:history="true" r:id="Rb9900e8274b4457e">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6e9c82f7ec64270">
              <w:r>
                <w:rPr>
                  <w:rStyle w:val="Hyperlink"/>
                </w:rPr>
                <w:t xml:space="preserve">Person—area of usual residence, statistical area level 2 (SA2) code (ASGS 2011) N(9)</w:t>
              </w:r>
            </w:hyperlink>
          </w:p>
          <w:p>
            <w:r>
              <w:rPr>
                <w:rStyle w:val="row-content"/>
                <w:b/>
              </w:rPr>
              <w:t xml:space="preserve">Data Source</w:t>
            </w:r>
          </w:p>
          <w:p>
            <w:hyperlink w:history="true" r:id="R59c5192b33014126">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Indigenous status—only jurisdictions for which the quality of Indigenous identification is considered acceptable are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National Healthcare Agreement performance reporting: 2015.</w:t>
            </w:r>
          </w:p>
          <w:p>
            <w:pPr>
              <w:spacing w:after="160"/>
            </w:pPr>
            <w:r>
              <w:rPr>
                <w:rStyle w:val="row-content-rich-text"/>
              </w:rPr>
              <w:t xml:space="preserve">Baseline: 2007.</w:t>
            </w:r>
          </w:p>
          <w:p>
            <w:pPr>
              <w:spacing w:after="160"/>
            </w:pPr>
            <w:r>
              <w:rPr>
                <w:rStyle w:val="row-content-rich-text"/>
              </w:rPr>
              <w:t xml:space="preserve">Population data for Aboriginal and Torres Strait Islander people is sourced from the 2011 Census-based Series B Aboriginal and Torres Strait Islander population projections.</w:t>
            </w:r>
          </w:p>
          <w:p>
            <w:pPr>
              <w:spacing w:after="160"/>
            </w:pPr>
            <w:r>
              <w:rPr>
                <w:rStyle w:val="row-content-rich-text"/>
              </w:rPr>
              <w:t xml:space="preserve">A system error affected the reporting of WA Aboriginal and Torres Strait Islander death registrations for 2007, 2008 and 2009 which affected the WA and national death rates reported for the 2011 and 2012 Council of Australian Governments' (COAG) Reform Council reports. These data were revised for 2013 reporting.</w:t>
            </w:r>
          </w:p>
          <w:p>
            <w:pPr>
              <w:spacing w:after="160"/>
            </w:pPr>
            <w:r>
              <w:rPr>
                <w:rStyle w:val="row-content-rich-text"/>
              </w:rPr>
              <w:t xml:space="preserve">Further details are available from the Aboriginal and Torres Strait Islander Health Performance Framework (Indicator 1.20).</w:t>
            </w:r>
          </w:p>
          <w:p>
            <w:hyperlink w:history="true" r:id="Rc6c6709700824d81">
              <w:r>
                <w:rPr>
                  <w:rStyle w:val="Hyperlink"/>
                </w:rPr>
                <w:t xml:space="preserve">http://www.dpmc.gov.au/indigenous-affairs/publication/aboriginal-and-torres-strait-islander-health-performance-framework-2014-report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ba025a979ad4cb1">
              <w:r>
                <w:rPr>
                  <w:rStyle w:val="Hyperlink"/>
                </w:rPr>
                <w:t xml:space="preserve">ABS Census of Population and Housing Post-Enumeration Survey</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a18c9996f22a400c">
              <w:r>
                <w:rPr>
                  <w:rStyle w:val="Hyperlink"/>
                </w:rPr>
                <w:t xml:space="preserve">ABS Death Registrations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2e3922288065491d">
              <w:r>
                <w:rPr>
                  <w:rStyle w:val="Hyperlink"/>
                </w:rPr>
                <w:t xml:space="preserve">ABS birth registration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aff0c2e4e4e5465b">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National Healthcare Agreement Performance Benchmark</w:t>
            </w:r>
          </w:p>
          <w:p>
            <w:pPr>
              <w:spacing w:after="160"/>
            </w:pPr>
            <w:r>
              <w:rPr>
                <w:rStyle w:val="row-content-rich-text"/>
              </w:rPr>
              <w:t xml:space="preserve">Halve the mortality gap for Indigenous children under five by 2018.</w:t>
            </w:r>
          </w:p>
          <w:p>
            <w:pPr/>
            <w:r>
              <w:rPr>
                <w:rStyle w:val="row-content-rich-text"/>
              </w:rPr>
              <w:t xml:space="preserve">Refer: </w:t>
            </w:r>
            <w:hyperlink w:history="true" r:id="R71a9684660a54d00">
              <w:r>
                <w:rPr>
                  <w:rStyle w:val="Hyperlink"/>
                </w:rPr>
                <w:t xml:space="preserve">http://www.federalfinancialrelations.gov.au/content/npa/healthcare/national-agreement.pdf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8cb1f50917c4cb3">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5e88b91e2284ac1">
              <w:r>
                <w:rPr>
                  <w:rStyle w:val="Hyperlink"/>
                </w:rPr>
                <w:t xml:space="preserve">National Healthcare Agreement: PB b–Better health: halve the mortality gap for Indigenous children under five by 2018, 2016</w:t>
              </w:r>
            </w:hyperlink>
          </w:p>
          <w:p>
            <w:pPr>
              <w:pStyle w:val="registration-status"/>
              <w:spacing w:before="0" w:after="0"/>
            </w:pPr>
            <w:hyperlink w:history="true" r:id="R5a0b80635b0a43c5">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e48ecd9dea534c14">
              <w:r>
                <w:rPr>
                  <w:rStyle w:val="Hyperlink"/>
                </w:rPr>
                <w:t xml:space="preserve">National Healthcare Agreement: PB b–Better health: halve the mortality gap for Indigenous children under five by 2018, 2018</w:t>
              </w:r>
            </w:hyperlink>
          </w:p>
          <w:p>
            <w:pPr>
              <w:pStyle w:val="registration-status"/>
              <w:spacing w:before="0" w:after="0"/>
            </w:pPr>
            <w:hyperlink w:history="true" r:id="R56f3846ebb4645eb">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cbad0cf3a73f4fa9">
              <w:r>
                <w:rPr>
                  <w:rStyle w:val="Hyperlink"/>
                </w:rPr>
                <w:t xml:space="preserve">National Healthcare Agreement: PI 07–Infant and young child mortality rate, 2017</w:t>
              </w:r>
            </w:hyperlink>
          </w:p>
          <w:p>
            <w:pPr>
              <w:pStyle w:val="registration-status"/>
              <w:spacing w:before="0" w:after="0"/>
            </w:pPr>
            <w:hyperlink w:history="true" r:id="R7b9732741e0b4326">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700845252479435b">
              <w:r>
                <w:rPr>
                  <w:rStyle w:val="Hyperlink"/>
                </w:rPr>
                <w:t xml:space="preserve">National Indigenous Reform Agreement: PI 06-Under five mortality rate by leading cause, 2018</w:t>
              </w:r>
            </w:hyperlink>
          </w:p>
          <w:p>
            <w:pPr>
              <w:pStyle w:val="registration-status"/>
              <w:spacing w:before="0" w:after="0"/>
            </w:pPr>
            <w:hyperlink w:history="true" r:id="Rcda5b992294e47f6">
              <w:r>
                <w:rPr>
                  <w:rStyle w:val="Hyperlink"/>
                  <w:color w:val="244061"/>
                </w:rPr>
                <w:t xml:space="preserve">Indigenous</w:t>
              </w:r>
            </w:hyperlink>
            <w:r>
              <w:rPr>
                <w:rStyle w:val="row-content"/>
                <w:color w:val="244061"/>
              </w:rPr>
              <w:t xml:space="preserve">, Superseded 31/07/2018</w:t>
            </w:r>
          </w:p>
          <w:p>
            <w:r>
              <w:br/>
            </w:r>
          </w:p>
        </w:tc>
      </w:tr>
    </w:tbl>
    <w:p>
      <w:r>
        <w:br/>
      </w:r>
    </w:p>
    <w:sectPr>
      <w:footerReference xmlns:r="http://schemas.openxmlformats.org/officeDocument/2006/relationships" w:type="default" r:id="Re9289c0d193e42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629970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86bed934674d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289c0d193e426a" /><Relationship Type="http://schemas.openxmlformats.org/officeDocument/2006/relationships/header" Target="/word/header1.xml" Id="R5d08c9bc17c24141" /><Relationship Type="http://schemas.openxmlformats.org/officeDocument/2006/relationships/settings" Target="/word/settings.xml" Id="Ree7d978e2e144a7e" /><Relationship Type="http://schemas.openxmlformats.org/officeDocument/2006/relationships/styles" Target="/word/styles.xml" Id="R5e3f485e26a541b3" /><Relationship Type="http://schemas.openxmlformats.org/officeDocument/2006/relationships/hyperlink" Target="https://meteor-uat.aihw.gov.au/RegistrationAuthority/14" TargetMode="External" Id="Rd56d25b22cad4f37" /><Relationship Type="http://schemas.openxmlformats.org/officeDocument/2006/relationships/hyperlink" Target="https://meteor-uat.aihw.gov.au/content/629963" TargetMode="External" Id="Ra62649e05ce6403a" /><Relationship Type="http://schemas.openxmlformats.org/officeDocument/2006/relationships/hyperlink" Target="https://meteor-uat.aihw.gov.au/RegistrationAuthority/14" TargetMode="External" Id="R4ef44524474b4fcf" /><Relationship Type="http://schemas.openxmlformats.org/officeDocument/2006/relationships/hyperlink" Target="https://meteor-uat.aihw.gov.au/content/393136" TargetMode="External" Id="R03d5c44fd7314006" /><Relationship Type="http://schemas.openxmlformats.org/officeDocument/2006/relationships/hyperlink" Target="https://meteor-uat.aihw.gov.au/RegistrationAuthority/14" TargetMode="External" Id="Rd55b08edaca04118" /><Relationship Type="http://schemas.openxmlformats.org/officeDocument/2006/relationships/hyperlink" Target="https://meteor-uat.aihw.gov.au/content/303794" TargetMode="External" Id="R34a3668c9cc14043" /><Relationship Type="http://schemas.openxmlformats.org/officeDocument/2006/relationships/hyperlink" Target="https://meteor-uat.aihw.gov.au/content/394481" TargetMode="External" Id="Rbafe709011d548c6" /><Relationship Type="http://schemas.openxmlformats.org/officeDocument/2006/relationships/hyperlink" Target="https://meteor-uat.aihw.gov.au/content/394482" TargetMode="External" Id="Rd1d9838320704975" /><Relationship Type="http://schemas.openxmlformats.org/officeDocument/2006/relationships/hyperlink" Target="https://meteor-uat.aihw.gov.au/content/394483" TargetMode="External" Id="Rfcb01a11237b4e2c" /><Relationship Type="http://schemas.openxmlformats.org/officeDocument/2006/relationships/hyperlink" Target="https://meteor-uat.aihw.gov.au/content/585823" TargetMode="External" Id="R7ed163618a8044b4" /><Relationship Type="http://schemas.openxmlformats.org/officeDocument/2006/relationships/hyperlink" Target="https://meteor-uat.aihw.gov.au/content/291036" TargetMode="External" Id="R3aababe14910402e" /><Relationship Type="http://schemas.openxmlformats.org/officeDocument/2006/relationships/hyperlink" Target="https://meteor-uat.aihw.gov.au/content/394481" TargetMode="External" Id="Rb9900e8274b4457e" /><Relationship Type="http://schemas.openxmlformats.org/officeDocument/2006/relationships/hyperlink" Target="https://meteor-uat.aihw.gov.au/content/469909" TargetMode="External" Id="R76e9c82f7ec64270" /><Relationship Type="http://schemas.openxmlformats.org/officeDocument/2006/relationships/hyperlink" Target="https://meteor-uat.aihw.gov.au/content/394481" TargetMode="External" Id="R59c5192b33014126" /><Relationship Type="http://schemas.openxmlformats.org/officeDocument/2006/relationships/hyperlink" Target="http://www.dpmc.gov.au/indigenous-affairs/publication/aboriginal-and-torres-strait-islander-health-performance-framework-2014-report" TargetMode="External" Id="Rc6c6709700824d81" /><Relationship Type="http://schemas.openxmlformats.org/officeDocument/2006/relationships/hyperlink" Target="https://meteor-uat.aihw.gov.au/content/394482" TargetMode="External" Id="R9ba025a979ad4cb1" /><Relationship Type="http://schemas.openxmlformats.org/officeDocument/2006/relationships/hyperlink" Target="https://meteor-uat.aihw.gov.au/content/394481" TargetMode="External" Id="Ra18c9996f22a400c" /><Relationship Type="http://schemas.openxmlformats.org/officeDocument/2006/relationships/hyperlink" Target="https://meteor-uat.aihw.gov.au/content/394483" TargetMode="External" Id="R2e3922288065491d" /><Relationship Type="http://schemas.openxmlformats.org/officeDocument/2006/relationships/hyperlink" Target="https://meteor-uat.aihw.gov.au/content/585823" TargetMode="External" Id="Raff0c2e4e4e5465b" /><Relationship Type="http://schemas.openxmlformats.org/officeDocument/2006/relationships/hyperlink" Target="http://www.federalfinancialrelations.gov.au/content/npa/healthcare/national-agreement.pdf" TargetMode="External" Id="R71a9684660a54d00" /><Relationship Type="http://schemas.openxmlformats.org/officeDocument/2006/relationships/hyperlink" Target="https://meteor-uat.aihw.gov.au/content/246013" TargetMode="External" Id="R98cb1f50917c4cb3" /><Relationship Type="http://schemas.openxmlformats.org/officeDocument/2006/relationships/hyperlink" Target="https://meteor-uat.aihw.gov.au/content/598860" TargetMode="External" Id="R45e88b91e2284ac1" /><Relationship Type="http://schemas.openxmlformats.org/officeDocument/2006/relationships/hyperlink" Target="https://meteor-uat.aihw.gov.au/RegistrationAuthority/14" TargetMode="External" Id="R5a0b80635b0a43c5" /><Relationship Type="http://schemas.openxmlformats.org/officeDocument/2006/relationships/hyperlink" Target="https://meteor-uat.aihw.gov.au/content/658546" TargetMode="External" Id="Re48ecd9dea534c14" /><Relationship Type="http://schemas.openxmlformats.org/officeDocument/2006/relationships/hyperlink" Target="https://meteor-uat.aihw.gov.au/RegistrationAuthority/14" TargetMode="External" Id="R56f3846ebb4645eb" /><Relationship Type="http://schemas.openxmlformats.org/officeDocument/2006/relationships/hyperlink" Target="https://meteor-uat.aihw.gov.au/content/630004" TargetMode="External" Id="Rcbad0cf3a73f4fa9" /><Relationship Type="http://schemas.openxmlformats.org/officeDocument/2006/relationships/hyperlink" Target="https://meteor-uat.aihw.gov.au/RegistrationAuthority/14" TargetMode="External" Id="R7b9732741e0b4326" /><Relationship Type="http://schemas.openxmlformats.org/officeDocument/2006/relationships/hyperlink" Target="https://meteor-uat.aihw.gov.au/content/668676" TargetMode="External" Id="R700845252479435b" /><Relationship Type="http://schemas.openxmlformats.org/officeDocument/2006/relationships/hyperlink" Target="https://meteor-uat.aihw.gov.au/RegistrationAuthority/9" TargetMode="External" Id="Rcda5b992294e47f6" /></Relationships>
</file>

<file path=word/_rels/header1.xml.rels>&#65279;<?xml version="1.0" encoding="utf-8"?><Relationships xmlns="http://schemas.openxmlformats.org/package/2006/relationships"><Relationship Type="http://schemas.openxmlformats.org/officeDocument/2006/relationships/image" Target="/media/image.png" Id="R2e86bed934674d78" /></Relationships>
</file>