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2225e62c4469f" /></Relationships>
</file>

<file path=word/document.xml><?xml version="1.0" encoding="utf-8"?>
<w:document xmlns:r="http://schemas.openxmlformats.org/officeDocument/2006/relationships" xmlns:w="http://schemas.openxmlformats.org/wordprocessingml/2006/main">
  <w:body>
    <w:p>
      <w:pPr>
        <w:pStyle w:val="Title"/>
      </w:pPr>
      <w:r>
        <w:t>Indicators of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of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67afddd3b49d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of effectiveness, also known as outcome indicators, provide markers of how close care is to recommended care, monitor outcomes and provide signals to patients and clinicians on quality of care.</w:t>
            </w:r>
            <w:r>
              <w:br/>
            </w:r>
            <w:r>
              <w:rPr>
                <w:rStyle w:val="row-content-rich-text"/>
              </w:rPr>
              <w:t xml:space="preserve">In 2009, Australian Health Ministers endorsed the recommendation by the Australian Commission on Safety and Quality in Health Care (the Commission) that hospitals routinely review a set of core hospital level outcome indicators.</w:t>
            </w:r>
          </w:p>
          <w:p>
            <w:pPr>
              <w:spacing w:after="160"/>
            </w:pPr>
            <w:r>
              <w:rPr>
                <w:rStyle w:val="row-content-rich-text"/>
              </w:rPr>
              <w:t xml:space="preserve">The indicator set includes:</w:t>
            </w:r>
          </w:p>
          <w:p>
            <w:pPr>
              <w:pStyle w:val="ListParagraph"/>
              <w:numPr>
                <w:ilvl w:val="0"/>
                <w:numId w:val="2"/>
              </w:numPr>
            </w:pPr>
            <w:r>
              <w:rPr>
                <w:rStyle w:val="row-content-rich-text"/>
              </w:rPr>
              <w:t xml:space="preserve">in hospital mortality for fractured neck of femur</w:t>
            </w:r>
          </w:p>
          <w:p>
            <w:pPr>
              <w:pStyle w:val="ListParagraph"/>
              <w:numPr>
                <w:ilvl w:val="0"/>
                <w:numId w:val="2"/>
              </w:numPr>
            </w:pPr>
            <w:r>
              <w:rPr>
                <w:rStyle w:val="row-content-rich-text"/>
              </w:rPr>
              <w:t xml:space="preserve">unplanned/unexpected same hospital readmissions of patients discharged following management of hip replacement.</w:t>
            </w:r>
          </w:p>
          <w:p>
            <w:pPr>
              <w:spacing w:after="160"/>
            </w:pPr>
            <w:r>
              <w:rPr>
                <w:rStyle w:val="row-content-rich-text"/>
              </w:rPr>
              <w:t xml:space="preserve">These indicators were subsequently included in the Australian national health </w:t>
            </w:r>
            <w:r>
              <w:rPr>
                <w:rStyle w:val="row-content-rich-text"/>
                <w:i/>
              </w:rPr>
              <w:t xml:space="preserve">Performance and Accountability Framework (PAF)</w:t>
            </w:r>
            <w:r>
              <w:rPr>
                <w:rStyle w:val="row-content-rich-text"/>
              </w:rPr>
              <w:t xml:space="preserve">.</w:t>
            </w:r>
            <w:r>
              <w:rPr>
                <w:rStyle w:val="row-content-rich-text"/>
                <w:vertAlign w:val="superscript"/>
              </w:rPr>
              <w:t xml:space="preserve">a</w:t>
            </w:r>
            <w:r>
              <w:rPr>
                <w:rStyle w:val="row-content-rich-text"/>
              </w:rPr>
              <w:t xml:space="preserve"> The PAF specifies indicators that are intended to be publicly reported at hospital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ef1eb1007514743">
              <w:r>
                <w:rPr>
                  <w:rStyle w:val="Hyperlink"/>
                  <w:b/>
                </w:rPr>
                <w:t xml:space="preserve">Local Hospital Network</w:t>
              </w:r>
            </w:hyperlink>
            <w:r>
              <w:rPr>
                <w:rStyle w:val="row-content-rich-text"/>
              </w:rPr>
              <w:t xml:space="preserve"> level. The specification for these indicators is published on the Commission’s website,</w:t>
            </w:r>
            <w:r>
              <w:rPr>
                <w:rStyle w:val="row-content-rich-text"/>
                <w:vertAlign w:val="superscript"/>
              </w:rPr>
              <w:t xml:space="preserve">b</w:t>
            </w:r>
            <w:r>
              <w:rPr>
                <w:rStyle w:val="row-content-rich-text"/>
              </w:rPr>
              <w:t xml:space="preserve"> and the public and private hospital sector have been provided with a </w:t>
            </w:r>
            <w:r>
              <w:rPr>
                <w:rStyle w:val="row-content-rich-text"/>
                <w:i/>
              </w:rPr>
              <w:t xml:space="preserve">Toolkit</w:t>
            </w:r>
            <w:r>
              <w:rPr>
                <w:rStyle w:val="row-content-rich-text"/>
              </w:rPr>
              <w:t xml:space="preserve">, which enables local generation of these indicators.</w:t>
            </w:r>
          </w:p>
          <w:p>
            <w:pPr>
              <w:spacing w:after="160"/>
            </w:pPr>
            <w:r>
              <w:rPr>
                <w:rStyle w:val="row-content-rich-text"/>
              </w:rPr>
              <w:t xml:space="preserve">Ongoing monitoring and review of a set of outcome-based indicators can detect significant variance and highlight issues of data quality and consistency, resources, or of quality of care. High outlier rates should be seen as a prompt to further detailed investigation. Several jurisdictions and private hospital ownership groups generate these indicators, and provide them to hospitals for routine review and investigation of high outlier rates.</w:t>
            </w:r>
          </w:p>
          <w:p>
            <w:pPr>
              <w:spacing w:after="160"/>
            </w:pPr>
            <w:r>
              <w:rPr>
                <w:rStyle w:val="row-content-rich-text"/>
              </w:rPr>
              <w:t xml:space="preserve">Where routine access to linked hospitalisation and mortality datasets is available, or where individual patient follow-up is authorised for studies and registries, the following endpoints are sometimes used in monitoring patient outcomes:</w:t>
            </w:r>
          </w:p>
          <w:p>
            <w:pPr>
              <w:pStyle w:val="ListParagraph"/>
              <w:numPr>
                <w:ilvl w:val="0"/>
                <w:numId w:val="3"/>
              </w:numPr>
            </w:pPr>
            <w:r>
              <w:rPr>
                <w:rStyle w:val="row-content-rich-text"/>
              </w:rPr>
              <w:t xml:space="preserve">30 day mortality following hip fracture</w:t>
            </w:r>
            <w:r>
              <w:rPr>
                <w:rStyle w:val="row-content-rich-text"/>
                <w:vertAlign w:val="superscript"/>
              </w:rPr>
              <w:t xml:space="preserve">c</w:t>
            </w:r>
          </w:p>
          <w:p>
            <w:pPr>
              <w:pStyle w:val="ListParagraph"/>
              <w:numPr>
                <w:ilvl w:val="0"/>
                <w:numId w:val="3"/>
              </w:numPr>
            </w:pPr>
            <w:r>
              <w:rPr>
                <w:rStyle w:val="row-content-rich-text"/>
              </w:rPr>
              <w:t xml:space="preserve">discharge to usual place of residence</w:t>
            </w:r>
          </w:p>
          <w:p>
            <w:pPr>
              <w:pStyle w:val="ListParagraph"/>
              <w:numPr>
                <w:ilvl w:val="0"/>
                <w:numId w:val="3"/>
              </w:numPr>
            </w:pPr>
            <w:r>
              <w:rPr>
                <w:rStyle w:val="row-content-rich-text"/>
              </w:rPr>
              <w:t xml:space="preserve">3 month outcome indicators based on survival status, place of residence, living alone status, and quality of life. Three month outcome indicators are best collected via manual case follow-up or, for death and readmission, state wide or nationally linked datasets.</w:t>
            </w:r>
          </w:p>
          <w:p>
            <w:pPr/>
            <w:r>
              <w:rPr>
                <w:rStyle w:val="row-content-rich-text"/>
                <w:vertAlign w:val="superscript"/>
              </w:rPr>
              <w:t xml:space="preserve">a</w:t>
            </w:r>
            <w:r>
              <w:rPr>
                <w:rStyle w:val="row-content-rich-text"/>
              </w:rPr>
              <w:t xml:space="preserve"> Available at </w:t>
            </w:r>
            <w:hyperlink w:history="true" r:id="R97ef7ca378814384">
              <w:r>
                <w:rPr>
                  <w:rStyle w:val="Hyperlink"/>
                </w:rPr>
                <w:t xml:space="preserve">www.nhpa.gov.au/internet/nhpa/publishing.nsf/Content/PAF</w:t>
              </w:r>
            </w:hyperlink>
            <w:r>
              <w:rPr>
                <w:rStyle w:val="row-content-rich-text"/>
              </w:rPr>
              <w:t xml:space="preserve">.</w:t>
            </w:r>
            <w:r>
              <w:br/>
            </w:r>
            <w:r>
              <w:rPr>
                <w:rStyle w:val="row-content-rich-text"/>
                <w:vertAlign w:val="superscript"/>
              </w:rPr>
              <w:t xml:space="preserve">b</w:t>
            </w:r>
            <w:r>
              <w:rPr>
                <w:rStyle w:val="row-content-rich-text"/>
              </w:rPr>
              <w:t xml:space="preserve"> See </w:t>
            </w:r>
            <w:hyperlink w:history="true" r:id="R35c4214171504a65">
              <w:r>
                <w:rPr>
                  <w:rStyle w:val="Hyperlink"/>
                </w:rPr>
                <w:t xml:space="preserve">www.safetyandquality.gov.au/our-work/information-strategy/</w:t>
              </w:r>
              <w:r>
                <w:br/>
              </w:r>
              <w:r>
                <w:rPr>
                  <w:rStyle w:val="row-content-rich-text"/>
                </w:rPr>
                <w:t xml:space="preserve">indicators/core-hospital-based-outcome-indicators/</w:t>
              </w:r>
            </w:hyperlink>
            <w:r>
              <w:rPr>
                <w:rStyle w:val="row-content-rich-text"/>
              </w:rPr>
              <w:t xml:space="preserve">.</w:t>
            </w:r>
            <w:r>
              <w:br/>
            </w:r>
            <w:r>
              <w:rPr>
                <w:rStyle w:val="row-content-rich-text"/>
                <w:vertAlign w:val="superscript"/>
              </w:rPr>
              <w:t xml:space="preserve">c </w:t>
            </w:r>
            <w:r>
              <w:rPr>
                <w:rStyle w:val="row-content-rich-text"/>
              </w:rPr>
              <w:t xml:space="preserve">See </w:t>
            </w:r>
            <w:hyperlink w:history="true" r:id="R3565ee5a4b1c4284">
              <w:r>
                <w:rPr>
                  <w:rStyle w:val="Hyperlink"/>
                </w:rPr>
                <w:t xml:space="preserve">bhi.nsw.gov.au/__data/assets/pdf_file/0004/177205/</w:t>
              </w:r>
              <w:r>
                <w:br/>
              </w:r>
              <w:r>
                <w:rPr>
                  <w:rStyle w:val="row-content-rich-text"/>
                </w:rPr>
                <w:t xml:space="preserve">APR_HealthcareInFocus2012_effectiveness-appropriateness.pdf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88576a8ca734d80">
              <w:r>
                <w:rPr>
                  <w:rStyle w:val="Hyperlink"/>
                </w:rPr>
                <w:t xml:space="preserve">Clinical care standard indicators: hip fracture</w:t>
              </w:r>
            </w:hyperlink>
          </w:p>
          <w:p>
            <w:pPr>
              <w:pStyle w:val="registration-status"/>
              <w:spacing w:before="0" w:after="0"/>
            </w:pPr>
            <w:hyperlink w:history="true" r:id="Reaaa9597d3624ea2">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3d32b2c078994af8">
              <w:r>
                <w:rPr>
                  <w:rStyle w:val="Hyperlink"/>
                  <w:color w:val="244061"/>
                </w:rPr>
                <w:t xml:space="preserve">Health!</w:t>
              </w:r>
            </w:hyperlink>
            <w:r>
              <w:rPr>
                <w:rStyle w:val="row-content"/>
                <w:color w:val="244061"/>
              </w:rPr>
              <w:t xml:space="preserve">, Standard 12/09/2016</w:t>
            </w:r>
          </w:p>
          <w:p>
            <w:r>
              <w:br/>
            </w:r>
            <w:hyperlink w:history="true" r:id="R62aa5ab9673e403d">
              <w:r>
                <w:rPr>
                  <w:rStyle w:val="Hyperlink"/>
                </w:rPr>
                <w:t xml:space="preserve">Clinical care standard indicators: hip fracture 2018</w:t>
              </w:r>
            </w:hyperlink>
          </w:p>
          <w:p>
            <w:pPr>
              <w:pStyle w:val="registration-status"/>
              <w:spacing w:before="0" w:after="0"/>
            </w:pPr>
            <w:hyperlink w:history="true" r:id="R0718da22be624e2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15cc3fab3234843">
              <w:r>
                <w:rPr>
                  <w:rStyle w:val="Hyperlink"/>
                </w:rPr>
                <w:t xml:space="preserve">Hip fracture care clinical care standard indicators: 8a-Re-operation of hip fracture patients within 30-day follow-up</w:t>
              </w:r>
            </w:hyperlink>
          </w:p>
          <w:p>
            <w:pPr>
              <w:pStyle w:val="registration-status"/>
              <w:spacing w:before="0" w:after="0"/>
            </w:pPr>
            <w:hyperlink w:history="true" r:id="R2ca57a895c274831">
              <w:r>
                <w:rPr>
                  <w:rStyle w:val="Hyperlink"/>
                  <w:color w:val="244061"/>
                </w:rPr>
                <w:t xml:space="preserve">Health!</w:t>
              </w:r>
            </w:hyperlink>
            <w:r>
              <w:rPr>
                <w:rStyle w:val="row-content"/>
                <w:color w:val="244061"/>
              </w:rPr>
              <w:t xml:space="preserve">, Standard 12/09/2016</w:t>
            </w:r>
          </w:p>
          <w:p>
            <w:r>
              <w:br/>
            </w:r>
            <w:hyperlink w:history="true" r:id="Rea82ac97c3c949e9">
              <w:r>
                <w:rPr>
                  <w:rStyle w:val="Hyperlink"/>
                </w:rPr>
                <w:t xml:space="preserve">Hip fracture care clinical care standard indicators: 8a-Re-operation of hip fracture patients within 30-day follow-up</w:t>
              </w:r>
            </w:hyperlink>
          </w:p>
          <w:p>
            <w:pPr>
              <w:pStyle w:val="registration-status"/>
              <w:spacing w:before="0" w:after="0"/>
            </w:pPr>
            <w:hyperlink w:history="true" r:id="Ra81d9e6574d54e0f">
              <w:r>
                <w:rPr>
                  <w:rStyle w:val="Hyperlink"/>
                  <w:color w:val="244061"/>
                </w:rPr>
                <w:t xml:space="preserve">Health!</w:t>
              </w:r>
            </w:hyperlink>
            <w:r>
              <w:rPr>
                <w:rStyle w:val="row-content"/>
                <w:color w:val="244061"/>
              </w:rPr>
              <w:t xml:space="preserve">, Standard 12/09/2016</w:t>
            </w:r>
          </w:p>
          <w:p>
            <w:r>
              <w:br/>
            </w:r>
            <w:hyperlink w:history="true" r:id="R08d017d563514b02">
              <w:r>
                <w:rPr>
                  <w:rStyle w:val="Hyperlink"/>
                </w:rPr>
                <w:t xml:space="preserve">Hip fracture care clinical care standard indicators: 8b-Survival at 30 days post-admission for hip fracture surgery</w:t>
              </w:r>
            </w:hyperlink>
          </w:p>
          <w:p>
            <w:pPr>
              <w:pStyle w:val="registration-status"/>
              <w:spacing w:before="0" w:after="0"/>
            </w:pPr>
            <w:hyperlink w:history="true" r:id="Ra05d3ad79ab247af">
              <w:r>
                <w:rPr>
                  <w:rStyle w:val="Hyperlink"/>
                  <w:color w:val="244061"/>
                </w:rPr>
                <w:t xml:space="preserve">Health!</w:t>
              </w:r>
            </w:hyperlink>
            <w:r>
              <w:rPr>
                <w:rStyle w:val="row-content"/>
                <w:color w:val="244061"/>
              </w:rPr>
              <w:t xml:space="preserve">, Standard 12/09/2016</w:t>
            </w:r>
          </w:p>
          <w:p>
            <w:r>
              <w:br/>
            </w:r>
            <w:hyperlink w:history="true" r:id="R2305396ad3bc4105">
              <w:r>
                <w:rPr>
                  <w:rStyle w:val="Hyperlink"/>
                </w:rPr>
                <w:t xml:space="preserve">Hip fracture care clinical care standard indicators: 8b-Survival at 30 days post-admission for hip fracture surgery</w:t>
              </w:r>
            </w:hyperlink>
          </w:p>
          <w:p>
            <w:pPr>
              <w:pStyle w:val="registration-status"/>
              <w:spacing w:before="0" w:after="0"/>
            </w:pPr>
            <w:hyperlink w:history="true" r:id="Rd74ca286c3f74d0d">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32272a6233c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a404094a8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272a6233c4f04" /><Relationship Type="http://schemas.openxmlformats.org/officeDocument/2006/relationships/header" Target="/word/header1.xml" Id="Rb53c4fc719b94d32" /><Relationship Type="http://schemas.openxmlformats.org/officeDocument/2006/relationships/settings" Target="/word/settings.xml" Id="R91c90aadec184c63" /><Relationship Type="http://schemas.openxmlformats.org/officeDocument/2006/relationships/styles" Target="/word/styles.xml" Id="R1606afe8c6284f4e" /><Relationship Type="http://schemas.openxmlformats.org/officeDocument/2006/relationships/numbering" Target="/word/numbering.xml" Id="Ra5d183b76f7b4346" /><Relationship Type="http://schemas.openxmlformats.org/officeDocument/2006/relationships/hyperlink" Target="https://meteor-uat.aihw.gov.au/RegistrationAuthority/14" TargetMode="External" Id="R91767afddd3b49d3" /><Relationship Type="http://schemas.openxmlformats.org/officeDocument/2006/relationships/hyperlink" Target="https://meteor-uat.aihw.gov.au/content/491016" TargetMode="External" Id="R9ef1eb1007514743" /><Relationship Type="http://schemas.openxmlformats.org/officeDocument/2006/relationships/hyperlink" Target="http://www.nhpa.gov.au/internet/nhpa/publishing.nsf/Content/PAF" TargetMode="External" Id="R97ef7ca378814384" /><Relationship Type="http://schemas.openxmlformats.org/officeDocument/2006/relationships/hyperlink" Target="http://www.safetyandquality.gov.au/our-work/information-strategy/indicators/core-hospital-based-outcome-indicators/" TargetMode="External" Id="R35c4214171504a65" /><Relationship Type="http://schemas.openxmlformats.org/officeDocument/2006/relationships/hyperlink" Target="http://bhi.nsw.gov.au/__data/assets/pdf_file/0004/177205/APR_HealthcareInFocus2012_effectiveness-appropriateness.pdf" TargetMode="External" Id="R3565ee5a4b1c4284" /><Relationship Type="http://schemas.openxmlformats.org/officeDocument/2006/relationships/hyperlink" Target="https://meteor-uat.aihw.gov.au/content/628043" TargetMode="External" Id="R988576a8ca734d80" /><Relationship Type="http://schemas.openxmlformats.org/officeDocument/2006/relationships/hyperlink" Target="https://meteor-uat.aihw.gov.au/RegistrationAuthority/2" TargetMode="External" Id="Reaaa9597d3624ea2" /><Relationship Type="http://schemas.openxmlformats.org/officeDocument/2006/relationships/hyperlink" Target="https://meteor-uat.aihw.gov.au/RegistrationAuthority/14" TargetMode="External" Id="R3d32b2c078994af8" /><Relationship Type="http://schemas.openxmlformats.org/officeDocument/2006/relationships/hyperlink" Target="https://meteor-uat.aihw.gov.au/content/696424" TargetMode="External" Id="R62aa5ab9673e403d" /><Relationship Type="http://schemas.openxmlformats.org/officeDocument/2006/relationships/hyperlink" Target="https://meteor-uat.aihw.gov.au/RegistrationAuthority/2" TargetMode="External" Id="R0718da22be624e27" /><Relationship Type="http://schemas.openxmlformats.org/officeDocument/2006/relationships/hyperlink" Target="https://meteor-uat.aihw.gov.au/content/696453" TargetMode="External" Id="Ra15cc3fab3234843" /><Relationship Type="http://schemas.openxmlformats.org/officeDocument/2006/relationships/hyperlink" Target="https://meteor-uat.aihw.gov.au/RegistrationAuthority/14" TargetMode="External" Id="R2ca57a895c274831" /><Relationship Type="http://schemas.openxmlformats.org/officeDocument/2006/relationships/hyperlink" Target="https://meteor-uat.aihw.gov.au/content/628360" TargetMode="External" Id="Rea82ac97c3c949e9" /><Relationship Type="http://schemas.openxmlformats.org/officeDocument/2006/relationships/hyperlink" Target="https://meteor-uat.aihw.gov.au/RegistrationAuthority/14" TargetMode="External" Id="Ra81d9e6574d54e0f" /><Relationship Type="http://schemas.openxmlformats.org/officeDocument/2006/relationships/hyperlink" Target="https://meteor-uat.aihw.gov.au/content/696455" TargetMode="External" Id="R08d017d563514b02" /><Relationship Type="http://schemas.openxmlformats.org/officeDocument/2006/relationships/hyperlink" Target="https://meteor-uat.aihw.gov.au/RegistrationAuthority/14" TargetMode="External" Id="Ra05d3ad79ab247af" /><Relationship Type="http://schemas.openxmlformats.org/officeDocument/2006/relationships/hyperlink" Target="https://meteor-uat.aihw.gov.au/content/628367" TargetMode="External" Id="R2305396ad3bc4105" /><Relationship Type="http://schemas.openxmlformats.org/officeDocument/2006/relationships/hyperlink" Target="https://meteor-uat.aihw.gov.au/RegistrationAuthority/14" TargetMode="External" Id="Rd74ca286c3f74d0d" /></Relationships>
</file>

<file path=word/_rels/header1.xml.rels>&#65279;<?xml version="1.0" encoding="utf-8"?><Relationships xmlns="http://schemas.openxmlformats.org/package/2006/relationships"><Relationship Type="http://schemas.openxmlformats.org/officeDocument/2006/relationships/image" Target="/media/image.png" Id="Ra92a404094a846d4" /></Relationships>
</file>