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64cd7de264fea"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570c7acda47ff">
              <w:r>
                <w:rPr>
                  <w:rStyle w:val="Hyperlink"/>
                  <w:color w:val="244061"/>
                </w:rPr>
                <w:t xml:space="preserve">AIHW Data Quality Statements</w:t>
              </w:r>
            </w:hyperlink>
            <w:r>
              <w:rPr>
                <w:rStyle w:val="row-content"/>
                <w:color w:val="244061"/>
              </w:rPr>
              <w:t xml:space="preserve">, Standard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2014: allied health practitioners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p>
          <w:p>
            <w:pPr>
              <w:spacing w:after="160"/>
            </w:pPr>
            <w:r>
              <w:rPr>
                <w:rStyle w:val="row-content-rich-text"/>
              </w:rPr>
              <w:t xml:space="preserve">This is the fourth year of data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publication.</w:t>
            </w:r>
          </w:p>
          <w:p>
            <w:pPr>
              <w:spacing w:after="160"/>
            </w:pPr>
            <w:r>
              <w:rPr>
                <w:rStyle w:val="row-content-rich-text"/>
                <w:i/>
              </w:rPr>
              <w:t xml:space="preserve">Description</w:t>
            </w:r>
          </w:p>
          <w:p>
            <w:pPr>
              <w:spacing w:after="160"/>
            </w:pPr>
            <w:r>
              <w:rPr>
                <w:rStyle w:val="row-content-rich-text"/>
              </w:rPr>
              <w:t xml:space="preserve">The AIHW NHWDS 2014: allied health practitioners is a combination of data collected through the practitioner registration renewal process.</w:t>
            </w:r>
          </w:p>
          <w:p>
            <w:pPr>
              <w:spacing w:after="160"/>
            </w:pPr>
            <w:r>
              <w:rPr>
                <w:rStyle w:val="row-content-rich-text"/>
                <w:i/>
              </w:rPr>
              <w:t xml:space="preserve">Registration data</w:t>
            </w:r>
          </w:p>
          <w:p>
            <w:pPr>
              <w:spacing w:after="160"/>
            </w:pP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p>
          <w:p>
            <w:pPr>
              <w:spacing w:after="160"/>
            </w:pP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w:t>
            </w:r>
            <w:hyperlink w:history="true" r:id="R072ed07240fb41b7">
              <w:r>
                <w:rPr>
                  <w:rStyle w:val="Hyperlink"/>
                </w:rPr>
                <w:t xml:space="preserve">http://www.atsihealthpracticeboard.gov.au/Codes-Guidelines/FAQ/Registration-and-how-to-apply.aspx</w:t>
              </w:r>
            </w:hyperlink>
            <w:r>
              <w:rPr>
                <w:rStyle w:val="row-content-rich-text"/>
              </w:rPr>
              <w:t xml:space="preserve">.</w:t>
            </w:r>
          </w:p>
          <w:p>
            <w:pPr>
              <w:spacing w:after="160"/>
            </w:pP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p>
          <w:p>
            <w:pPr>
              <w:spacing w:after="160"/>
            </w:pP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p>
          <w:p>
            <w:pPr>
              <w:spacing w:after="160"/>
            </w:pPr>
            <w:r>
              <w:rPr>
                <w:rStyle w:val="row-content-rich-text"/>
              </w:rPr>
              <w:t xml:space="preserve">The majority of health professionals are due to renew their registration on 30 November each year. Provisional and limited registrants renew on the anniversary of their last registration/renewal.</w:t>
            </w:r>
          </w:p>
          <w:p>
            <w:pPr>
              <w:spacing w:after="160"/>
            </w:pPr>
            <w:r>
              <w:rPr>
                <w:rStyle w:val="row-content-rich-text"/>
              </w:rPr>
              <w:t xml:space="preserve">Registration details on AIHW NHWDS 2014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17b874eb38614f0b">
              <w:r>
                <w:rPr>
                  <w:rStyle w:val="Hyperlink"/>
                </w:rPr>
                <w:t xml:space="preserve">www.ahpra.gov.au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When practitioners renew their registration online they are asked to complete an online survey customised for each profession. Copies of the survey forms are available at </w:t>
            </w:r>
            <w:hyperlink w:history="true" r:id="R11cd0640d2334b49">
              <w:r>
                <w:rPr>
                  <w:rStyle w:val="Hyperlink"/>
                </w:rPr>
                <w:t xml:space="preserve">www.aihw.gov.au/workforce</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AHPRA stores both online registration data and survey information in separate databases. They send the two data sets (in de-identified form) to the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 For further information, see the AIHW website at </w:t>
            </w:r>
            <w:hyperlink w:history="true" r:id="R62b3b63810a140e1">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2014. The AIHW is the data custodian of the AIHW NHWDS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NHWDS for allied health practitioners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(30 December). The AHPRA allow a further 2 weeks to allow for mail and data entry delays before extracting the data. Consequently the extraction of data occurs (the extraction date) a month and a half after the renewal date.</w:t>
            </w:r>
          </w:p>
          <w:p>
            <w:pPr>
              <w:spacing w:after="160"/>
            </w:pPr>
            <w:r>
              <w:rPr>
                <w:rStyle w:val="row-content-rich-text"/>
              </w:rPr>
              <w:t xml:space="preserve">The survey data are also collected between 1 October and 30 December, as the surveys are administered as part of the registration renewal process.</w:t>
            </w:r>
          </w:p>
          <w:p>
            <w:pP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 AIHW received the electronic and registration data in January, while complete data (i.e. including the paper forms) were received at the end of August 2015 for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AIHW NHWDS 2014 are released on the AIHW website in a series of </w:t>
            </w:r>
            <w:r>
              <w:rPr>
                <w:rStyle w:val="row-content-rich-text"/>
                <w:i/>
              </w:rPr>
              <w:t xml:space="preserve">workforce </w:t>
            </w:r>
            <w:r>
              <w:rPr>
                <w:rStyle w:val="row-content-rich-text"/>
              </w:rPr>
              <w:t xml:space="preserve">web pages. Workforce survey questionnaires and detailed tables are available on the AIHW website at </w:t>
            </w:r>
            <w:hyperlink w:history="true" r:id="R517894c6d94846cc">
              <w:r>
                <w:rPr>
                  <w:rStyle w:val="Hyperlink"/>
                </w:rPr>
                <w:t xml:space="preserve">http://www.aihw.gov.au/workforce </w:t>
              </w:r>
            </w:hyperlink>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fbc40d1cc3014bcc">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2014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AIHW NHWDS 2014 for allied health practitioners is to provide information on the number and demographic and employment characteristics of the each of the following health practitioners:</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  </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Oral health therapists</w:t>
            </w:r>
          </w:p>
          <w:p>
            <w:pPr>
              <w:pStyle w:val="ListParagraph"/>
              <w:numPr>
                <w:ilvl w:val="0"/>
                <w:numId w:val="2"/>
              </w:numPr>
            </w:pPr>
            <w:r>
              <w:rPr>
                <w:rStyle w:val="row-content-rich-text"/>
              </w:rPr>
              <w:t xml:space="preserve">Occupational therapists</w:t>
            </w:r>
          </w:p>
          <w:p>
            <w:pPr>
              <w:pStyle w:val="ListParagraph"/>
              <w:numPr>
                <w:ilvl w:val="0"/>
                <w:numId w:val="2"/>
              </w:numPr>
            </w:pPr>
            <w:r>
              <w:rPr>
                <w:rStyle w:val="row-content-rich-text"/>
              </w:rPr>
              <w:t xml:space="preserve">Medical radiation practitioners</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Chinese medicine practitioners</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Aboriginal and Torres Strait Islander health practitioners.</w:t>
            </w:r>
          </w:p>
          <w:p>
            <w:pPr>
              <w:spacing w:after="160"/>
            </w:pPr>
            <w:r>
              <w:rPr>
                <w:rStyle w:val="row-content-rich-text"/>
              </w:rPr>
              <w:t xml:space="preserve">The AIHW NHWDS 2014 describes the size and characteristics of the health workforce in Australia. It is of interest to health agencies involved in workforce planning, as well as health policy planning and implementation in general.</w:t>
            </w:r>
          </w:p>
          <w:p>
            <w:pP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Survey Responses</w:t>
            </w:r>
          </w:p>
          <w:p>
            <w:pPr>
              <w:spacing w:after="160"/>
            </w:pPr>
            <w:r>
              <w:rPr>
                <w:rStyle w:val="row-content-rich-text"/>
              </w:rPr>
              <w:t xml:space="preserve">The response rates for each of the allied health profession surveys are listed in Table 1.</w:t>
            </w:r>
          </w:p>
          <w:p>
            <w:pPr>
              <w:spacing w:after="160"/>
            </w:pPr>
            <w:r>
              <w:rPr>
                <w:rStyle w:val="row-content-rich-text"/>
                <w:i/>
              </w:rPr>
              <w:t xml:space="preserve">Table 1:  Survey response rates(a), </w:t>
            </w:r>
            <w:r>
              <w:rPr>
                <w:rStyle w:val="row-content-rich-text"/>
                <w:i/>
              </w:rPr>
              <w:t xml:space="preserve">states and territories</w:t>
            </w:r>
            <w:r>
              <w:rPr>
                <w:rStyle w:val="row-content-rich-text"/>
                <w:i/>
              </w:rPr>
              <w:t xml:space="preserve">, 2014</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vertAlign w:val="superscript"/>
                    </w:rPr>
                    <w:t xml:space="preserve">(b)</w:t>
                  </w:r>
                </w:p>
              </w:tc>
            </w:tr>
            <w:tr>
              <w:trPr/>
              <w:tc>
                <w:tcPr>
                  <w:tcW w:w="1650" w:type="pct"/>
                  <w:vAlign w:val="top"/>
                </w:tcPr>
                <w:p>
                  <w:r>
                    <w:t xml:space="preserve">Psychologists</w:t>
                  </w:r>
                </w:p>
              </w:tc>
              <w:tc>
                <w:tcPr>
                  <w:tcW w:w="350" w:type="pct"/>
                  <w:vAlign w:val="top"/>
                </w:tcPr>
                <w:p>
                  <w:r>
                    <w:t xml:space="preserve">95.2</w:t>
                  </w:r>
                </w:p>
              </w:tc>
              <w:tc>
                <w:tcPr>
                  <w:tcW w:w="350" w:type="pct"/>
                  <w:vAlign w:val="top"/>
                </w:tcPr>
                <w:p>
                  <w:r>
                    <w:t xml:space="preserve">94.5</w:t>
                  </w:r>
                </w:p>
              </w:tc>
              <w:tc>
                <w:tcPr>
                  <w:tcW w:w="350" w:type="pct"/>
                  <w:vAlign w:val="top"/>
                </w:tcPr>
                <w:p>
                  <w:r>
                    <w:t xml:space="preserve">94.4</w:t>
                  </w:r>
                </w:p>
              </w:tc>
              <w:tc>
                <w:tcPr>
                  <w:tcW w:w="350" w:type="pct"/>
                  <w:vAlign w:val="top"/>
                </w:tcPr>
                <w:p>
                  <w:r>
                    <w:t xml:space="preserve">91.5</w:t>
                  </w:r>
                </w:p>
              </w:tc>
              <w:tc>
                <w:tcPr>
                  <w:tcW w:w="350" w:type="pct"/>
                  <w:vAlign w:val="top"/>
                </w:tcPr>
                <w:p>
                  <w:r>
                    <w:t xml:space="preserve">94.4</w:t>
                  </w:r>
                </w:p>
              </w:tc>
              <w:tc>
                <w:tcPr>
                  <w:tcW w:w="350" w:type="pct"/>
                  <w:vAlign w:val="top"/>
                </w:tcPr>
                <w:p>
                  <w:r>
                    <w:t xml:space="preserve">94.0</w:t>
                  </w:r>
                </w:p>
              </w:tc>
              <w:tc>
                <w:tcPr>
                  <w:tcW w:w="350" w:type="pct"/>
                  <w:vAlign w:val="top"/>
                </w:tcPr>
                <w:p>
                  <w:r>
                    <w:t xml:space="preserve">94.3</w:t>
                  </w:r>
                </w:p>
              </w:tc>
              <w:tc>
                <w:tcPr>
                  <w:tcW w:w="350" w:type="pct"/>
                  <w:vAlign w:val="top"/>
                </w:tcPr>
                <w:p>
                  <w:r>
                    <w:t xml:space="preserve">94.6</w:t>
                  </w:r>
                </w:p>
              </w:tc>
              <w:tc>
                <w:tcPr>
                  <w:tcW w:w="400" w:type="pct"/>
                  <w:vAlign w:val="top"/>
                </w:tcPr>
                <w:p>
                  <w:r>
                    <w:t xml:space="preserve">94.5</w:t>
                  </w:r>
                </w:p>
              </w:tc>
            </w:tr>
            <w:tr>
              <w:trPr/>
              <w:tc>
                <w:tcPr>
                  <w:tcW w:w="1650" w:type="pct"/>
                  <w:vAlign w:val="top"/>
                </w:tcPr>
                <w:p>
                  <w:r>
                    <w:t xml:space="preserve">Pharmacists</w:t>
                  </w:r>
                </w:p>
              </w:tc>
              <w:tc>
                <w:tcPr>
                  <w:tcW w:w="350" w:type="pct"/>
                  <w:vAlign w:val="top"/>
                </w:tcPr>
                <w:p>
                  <w:r>
                    <w:t xml:space="preserve">93.9</w:t>
                  </w:r>
                </w:p>
              </w:tc>
              <w:tc>
                <w:tcPr>
                  <w:tcW w:w="350" w:type="pct"/>
                  <w:vAlign w:val="top"/>
                </w:tcPr>
                <w:p>
                  <w:r>
                    <w:t xml:space="preserve">93.3</w:t>
                  </w:r>
                </w:p>
              </w:tc>
              <w:tc>
                <w:tcPr>
                  <w:tcW w:w="350" w:type="pct"/>
                  <w:vAlign w:val="top"/>
                </w:tcPr>
                <w:p>
                  <w:r>
                    <w:t xml:space="preserve">93.8</w:t>
                  </w:r>
                </w:p>
              </w:tc>
              <w:tc>
                <w:tcPr>
                  <w:tcW w:w="350" w:type="pct"/>
                  <w:vAlign w:val="top"/>
                </w:tcPr>
                <w:p>
                  <w:r>
                    <w:t xml:space="preserve">92.7</w:t>
                  </w:r>
                </w:p>
              </w:tc>
              <w:tc>
                <w:tcPr>
                  <w:tcW w:w="350" w:type="pct"/>
                  <w:vAlign w:val="top"/>
                </w:tcPr>
                <w:p>
                  <w:r>
                    <w:t xml:space="preserve">95.1</w:t>
                  </w:r>
                </w:p>
              </w:tc>
              <w:tc>
                <w:tcPr>
                  <w:tcW w:w="350" w:type="pct"/>
                  <w:vAlign w:val="top"/>
                </w:tcPr>
                <w:p>
                  <w:r>
                    <w:t xml:space="preserve">93.4</w:t>
                  </w:r>
                </w:p>
              </w:tc>
              <w:tc>
                <w:tcPr>
                  <w:tcW w:w="350" w:type="pct"/>
                  <w:vAlign w:val="top"/>
                </w:tcPr>
                <w:p>
                  <w:r>
                    <w:t xml:space="preserve">95.8</w:t>
                  </w:r>
                </w:p>
              </w:tc>
              <w:tc>
                <w:tcPr>
                  <w:tcW w:w="350" w:type="pct"/>
                  <w:vAlign w:val="top"/>
                </w:tcPr>
                <w:p>
                  <w:r>
                    <w:t xml:space="preserve">94.3</w:t>
                  </w:r>
                </w:p>
              </w:tc>
              <w:tc>
                <w:tcPr>
                  <w:tcW w:w="400" w:type="pct"/>
                  <w:vAlign w:val="top"/>
                </w:tcPr>
                <w:p>
                  <w:r>
                    <w:t xml:space="preserve">93.7</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91.8</w:t>
                  </w:r>
                </w:p>
              </w:tc>
              <w:tc>
                <w:tcPr>
                  <w:tcW w:w="350" w:type="pct"/>
                  <w:vAlign w:val="top"/>
                </w:tcPr>
                <w:p>
                  <w:r>
                    <w:t xml:space="preserve">90.4</w:t>
                  </w:r>
                </w:p>
              </w:tc>
              <w:tc>
                <w:tcPr>
                  <w:tcW w:w="350" w:type="pct"/>
                  <w:vAlign w:val="top"/>
                </w:tcPr>
                <w:p>
                  <w:r>
                    <w:t xml:space="preserve">91.4</w:t>
                  </w:r>
                </w:p>
              </w:tc>
              <w:tc>
                <w:tcPr>
                  <w:tcW w:w="350" w:type="pct"/>
                  <w:vAlign w:val="top"/>
                </w:tcPr>
                <w:p>
                  <w:r>
                    <w:t xml:space="preserve">95.1</w:t>
                  </w:r>
                </w:p>
              </w:tc>
              <w:tc>
                <w:tcPr>
                  <w:tcW w:w="350" w:type="pct"/>
                  <w:vAlign w:val="top"/>
                </w:tcPr>
                <w:p>
                  <w:r>
                    <w:t xml:space="preserve">94.8</w:t>
                  </w:r>
                </w:p>
              </w:tc>
              <w:tc>
                <w:tcPr>
                  <w:tcW w:w="350" w:type="pct"/>
                  <w:vAlign w:val="top"/>
                </w:tcPr>
                <w:p>
                  <w:r>
                    <w:t xml:space="preserve">96.7</w:t>
                  </w:r>
                </w:p>
              </w:tc>
              <w:tc>
                <w:tcPr>
                  <w:tcW w:w="400" w:type="pct"/>
                  <w:vAlign w:val="top"/>
                </w:tcPr>
                <w:p>
                  <w:r>
                    <w:t xml:space="preserve">92.1</w:t>
                  </w:r>
                </w:p>
              </w:tc>
            </w:tr>
            <w:tr>
              <w:trPr/>
              <w:tc>
                <w:tcPr>
                  <w:tcW w:w="1650" w:type="pct"/>
                  <w:vAlign w:val="top"/>
                </w:tcPr>
                <w:p>
                  <w:r>
                    <w:t xml:space="preserve">Dentists</w:t>
                  </w:r>
                </w:p>
              </w:tc>
              <w:tc>
                <w:tcPr>
                  <w:tcW w:w="350" w:type="pct"/>
                  <w:vAlign w:val="top"/>
                </w:tcPr>
                <w:p>
                  <w:r>
                    <w:t xml:space="preserve">93.2</w:t>
                  </w:r>
                </w:p>
              </w:tc>
              <w:tc>
                <w:tcPr>
                  <w:tcW w:w="350" w:type="pct"/>
                  <w:vAlign w:val="top"/>
                </w:tcPr>
                <w:p>
                  <w:r>
                    <w:t xml:space="preserve">92.8</w:t>
                  </w:r>
                </w:p>
              </w:tc>
              <w:tc>
                <w:tcPr>
                  <w:tcW w:w="350" w:type="pct"/>
                  <w:vAlign w:val="top"/>
                </w:tcPr>
                <w:p>
                  <w:r>
                    <w:t xml:space="preserve">91.8</w:t>
                  </w:r>
                </w:p>
              </w:tc>
              <w:tc>
                <w:tcPr>
                  <w:tcW w:w="350" w:type="pct"/>
                  <w:vAlign w:val="top"/>
                </w:tcPr>
                <w:p>
                  <w:r>
                    <w:t xml:space="preserve">89.4</w:t>
                  </w:r>
                </w:p>
              </w:tc>
              <w:tc>
                <w:tcPr>
                  <w:tcW w:w="350" w:type="pct"/>
                  <w:vAlign w:val="top"/>
                </w:tcPr>
                <w:p>
                  <w:r>
                    <w:t xml:space="preserve">92.0</w:t>
                  </w:r>
                </w:p>
              </w:tc>
              <w:tc>
                <w:tcPr>
                  <w:tcW w:w="350" w:type="pct"/>
                  <w:vAlign w:val="top"/>
                </w:tcPr>
                <w:p>
                  <w:r>
                    <w:t xml:space="preserve">90.9</w:t>
                  </w:r>
                </w:p>
              </w:tc>
              <w:tc>
                <w:tcPr>
                  <w:tcW w:w="350" w:type="pct"/>
                  <w:vAlign w:val="top"/>
                </w:tcPr>
                <w:p>
                  <w:r>
                    <w:t xml:space="preserve">96.3</w:t>
                  </w:r>
                </w:p>
              </w:tc>
              <w:tc>
                <w:tcPr>
                  <w:tcW w:w="350" w:type="pct"/>
                  <w:vAlign w:val="top"/>
                </w:tcPr>
                <w:p>
                  <w:r>
                    <w:t xml:space="preserve">92.9</w:t>
                  </w:r>
                </w:p>
              </w:tc>
              <w:tc>
                <w:tcPr>
                  <w:tcW w:w="400" w:type="pct"/>
                  <w:vAlign w:val="top"/>
                </w:tcPr>
                <w:p>
                  <w:r>
                    <w:t xml:space="preserve">92.2</w:t>
                  </w:r>
                </w:p>
              </w:tc>
            </w:tr>
            <w:tr>
              <w:trPr/>
              <w:tc>
                <w:tcPr>
                  <w:tcW w:w="1650" w:type="pct"/>
                  <w:vAlign w:val="top"/>
                </w:tcPr>
                <w:p>
                  <w:r>
                    <w:t xml:space="preserve">Dental hygienists</w:t>
                  </w:r>
                </w:p>
              </w:tc>
              <w:tc>
                <w:tcPr>
                  <w:tcW w:w="350" w:type="pct"/>
                  <w:vAlign w:val="top"/>
                </w:tcPr>
                <w:p>
                  <w:r>
                    <w:t xml:space="preserve">91.8</w:t>
                  </w:r>
                </w:p>
              </w:tc>
              <w:tc>
                <w:tcPr>
                  <w:tcW w:w="350" w:type="pct"/>
                  <w:vAlign w:val="top"/>
                </w:tcPr>
                <w:p>
                  <w:r>
                    <w:t xml:space="preserve">94.1</w:t>
                  </w:r>
                </w:p>
              </w:tc>
              <w:tc>
                <w:tcPr>
                  <w:tcW w:w="350" w:type="pct"/>
                  <w:vAlign w:val="top"/>
                </w:tcPr>
                <w:p>
                  <w:r>
                    <w:t xml:space="preserve">97.3</w:t>
                  </w:r>
                </w:p>
              </w:tc>
              <w:tc>
                <w:tcPr>
                  <w:tcW w:w="350" w:type="pct"/>
                  <w:vAlign w:val="top"/>
                </w:tcPr>
                <w:p>
                  <w:r>
                    <w:t xml:space="preserve">90.4</w:t>
                  </w:r>
                </w:p>
              </w:tc>
              <w:tc>
                <w:tcPr>
                  <w:tcW w:w="350" w:type="pct"/>
                  <w:vAlign w:val="top"/>
                </w:tcPr>
                <w:p>
                  <w:r>
                    <w:t xml:space="preserve">92.8</w:t>
                  </w:r>
                </w:p>
              </w:tc>
              <w:tc>
                <w:tcPr>
                  <w:tcW w:w="350" w:type="pct"/>
                  <w:vAlign w:val="top"/>
                </w:tcPr>
                <w:p>
                  <w:r>
                    <w:t xml:space="preserve">100.0</w:t>
                  </w:r>
                </w:p>
              </w:tc>
              <w:tc>
                <w:tcPr>
                  <w:tcW w:w="350" w:type="pct"/>
                  <w:vAlign w:val="top"/>
                </w:tcPr>
                <w:p>
                  <w:r>
                    <w:t xml:space="preserve">91.7</w:t>
                  </w:r>
                </w:p>
              </w:tc>
              <w:tc>
                <w:tcPr>
                  <w:tcW w:w="350" w:type="pct"/>
                  <w:vAlign w:val="top"/>
                </w:tcPr>
                <w:p>
                  <w:r>
                    <w:t xml:space="preserve">98.0</w:t>
                  </w:r>
                </w:p>
              </w:tc>
              <w:tc>
                <w:tcPr>
                  <w:tcW w:w="400" w:type="pct"/>
                  <w:vAlign w:val="top"/>
                </w:tcPr>
                <w:p>
                  <w:r>
                    <w:t xml:space="preserve">93.4</w:t>
                  </w:r>
                </w:p>
              </w:tc>
            </w:tr>
            <w:tr>
              <w:trPr/>
              <w:tc>
                <w:tcPr>
                  <w:tcW w:w="1650" w:type="pct"/>
                  <w:vAlign w:val="top"/>
                </w:tcPr>
                <w:p>
                  <w:r>
                    <w:t xml:space="preserve">Dental prosthetists</w:t>
                  </w:r>
                </w:p>
              </w:tc>
              <w:tc>
                <w:tcPr>
                  <w:tcW w:w="350" w:type="pct"/>
                  <w:vAlign w:val="top"/>
                </w:tcPr>
                <w:p>
                  <w:r>
                    <w:t xml:space="preserve">92.4</w:t>
                  </w:r>
                </w:p>
              </w:tc>
              <w:tc>
                <w:tcPr>
                  <w:tcW w:w="350" w:type="pct"/>
                  <w:vAlign w:val="top"/>
                </w:tcPr>
                <w:p>
                  <w:r>
                    <w:t xml:space="preserve">89.9</w:t>
                  </w:r>
                </w:p>
              </w:tc>
              <w:tc>
                <w:tcPr>
                  <w:tcW w:w="350" w:type="pct"/>
                  <w:vAlign w:val="top"/>
                </w:tcPr>
                <w:p>
                  <w:r>
                    <w:t xml:space="preserve">88.4</w:t>
                  </w:r>
                </w:p>
              </w:tc>
              <w:tc>
                <w:tcPr>
                  <w:tcW w:w="350" w:type="pct"/>
                  <w:vAlign w:val="top"/>
                </w:tcPr>
                <w:p>
                  <w:r>
                    <w:t xml:space="preserve">83.1</w:t>
                  </w:r>
                </w:p>
              </w:tc>
              <w:tc>
                <w:tcPr>
                  <w:tcW w:w="350" w:type="pct"/>
                  <w:vAlign w:val="top"/>
                </w:tcPr>
                <w:p>
                  <w:r>
                    <w:t xml:space="preserve">98.8</w:t>
                  </w:r>
                </w:p>
              </w:tc>
              <w:tc>
                <w:tcPr>
                  <w:tcW w:w="350" w:type="pct"/>
                  <w:vAlign w:val="top"/>
                </w:tcPr>
                <w:p>
                  <w:r>
                    <w:t xml:space="preserve">93.6</w:t>
                  </w:r>
                </w:p>
              </w:tc>
              <w:tc>
                <w:tcPr>
                  <w:tcW w:w="350" w:type="pct"/>
                  <w:vAlign w:val="top"/>
                </w:tcPr>
                <w:p>
                  <w:r>
                    <w:t xml:space="preserve">100.0</w:t>
                  </w:r>
                </w:p>
              </w:tc>
              <w:tc>
                <w:tcPr>
                  <w:tcW w:w="350" w:type="pct"/>
                  <w:vAlign w:val="top"/>
                </w:tcPr>
                <w:p>
                  <w:r>
                    <w:t xml:space="preserve">87.5</w:t>
                  </w:r>
                </w:p>
              </w:tc>
              <w:tc>
                <w:tcPr>
                  <w:tcW w:w="400" w:type="pct"/>
                  <w:vAlign w:val="top"/>
                </w:tcPr>
                <w:p>
                  <w:r>
                    <w:t xml:space="preserve">90.8</w:t>
                  </w:r>
                </w:p>
              </w:tc>
            </w:tr>
            <w:tr>
              <w:trPr/>
              <w:tc>
                <w:tcPr>
                  <w:tcW w:w="1650" w:type="pct"/>
                  <w:vAlign w:val="top"/>
                </w:tcPr>
                <w:p>
                  <w:r>
                    <w:t xml:space="preserve">Dental therapists</w:t>
                  </w:r>
                </w:p>
              </w:tc>
              <w:tc>
                <w:tcPr>
                  <w:tcW w:w="350" w:type="pct"/>
                  <w:vAlign w:val="top"/>
                </w:tcPr>
                <w:p>
                  <w:r>
                    <w:t xml:space="preserve">94.8</w:t>
                  </w:r>
                </w:p>
              </w:tc>
              <w:tc>
                <w:tcPr>
                  <w:tcW w:w="350" w:type="pct"/>
                  <w:vAlign w:val="top"/>
                </w:tcPr>
                <w:p>
                  <w:r>
                    <w:t xml:space="preserve">95.0</w:t>
                  </w:r>
                </w:p>
              </w:tc>
              <w:tc>
                <w:tcPr>
                  <w:tcW w:w="350" w:type="pct"/>
                  <w:vAlign w:val="top"/>
                </w:tcPr>
                <w:p>
                  <w:r>
                    <w:t xml:space="preserve">93.3</w:t>
                  </w:r>
                </w:p>
              </w:tc>
              <w:tc>
                <w:tcPr>
                  <w:tcW w:w="350" w:type="pct"/>
                  <w:vAlign w:val="top"/>
                </w:tcPr>
                <w:p>
                  <w:r>
                    <w:t xml:space="preserve">95.7</w:t>
                  </w:r>
                </w:p>
              </w:tc>
              <w:tc>
                <w:tcPr>
                  <w:tcW w:w="350" w:type="pct"/>
                  <w:vAlign w:val="top"/>
                </w:tcPr>
                <w:p>
                  <w:r>
                    <w:t xml:space="preserve">96.6</w:t>
                  </w:r>
                </w:p>
              </w:tc>
              <w:tc>
                <w:tcPr>
                  <w:tcW w:w="350" w:type="pct"/>
                  <w:vAlign w:val="top"/>
                </w:tcPr>
                <w:p>
                  <w:r>
                    <w:t xml:space="preserve">98.1</w:t>
                  </w:r>
                </w:p>
              </w:tc>
              <w:tc>
                <w:tcPr>
                  <w:tcW w:w="350" w:type="pct"/>
                  <w:vAlign w:val="top"/>
                </w:tcPr>
                <w:p>
                  <w:r>
                    <w:t xml:space="preserve">86.4</w:t>
                  </w:r>
                </w:p>
              </w:tc>
              <w:tc>
                <w:tcPr>
                  <w:tcW w:w="350" w:type="pct"/>
                  <w:vAlign w:val="top"/>
                </w:tcPr>
                <w:p>
                  <w:r>
                    <w:t xml:space="preserve">100.0</w:t>
                  </w:r>
                </w:p>
              </w:tc>
              <w:tc>
                <w:tcPr>
                  <w:tcW w:w="400" w:type="pct"/>
                  <w:vAlign w:val="top"/>
                </w:tcPr>
                <w:p>
                  <w:r>
                    <w:t xml:space="preserve">95.2</w:t>
                  </w:r>
                </w:p>
              </w:tc>
            </w:tr>
            <w:tr>
              <w:trPr/>
              <w:tc>
                <w:tcPr>
                  <w:tcW w:w="1650" w:type="pct"/>
                  <w:vAlign w:val="top"/>
                </w:tcPr>
                <w:p>
                  <w:r>
                    <w:t xml:space="preserve">Oral health therapists</w:t>
                  </w:r>
                </w:p>
              </w:tc>
              <w:tc>
                <w:tcPr>
                  <w:tcW w:w="350" w:type="pct"/>
                  <w:vAlign w:val="top"/>
                </w:tcPr>
                <w:p>
                  <w:r>
                    <w:t xml:space="preserve">84.6</w:t>
                  </w:r>
                </w:p>
              </w:tc>
              <w:tc>
                <w:tcPr>
                  <w:tcW w:w="350" w:type="pct"/>
                  <w:vAlign w:val="top"/>
                </w:tcPr>
                <w:p>
                  <w:r>
                    <w:t xml:space="preserve">89.1</w:t>
                  </w:r>
                </w:p>
              </w:tc>
              <w:tc>
                <w:tcPr>
                  <w:tcW w:w="350" w:type="pct"/>
                  <w:vAlign w:val="top"/>
                </w:tcPr>
                <w:p>
                  <w:r>
                    <w:t xml:space="preserve">87.2</w:t>
                  </w:r>
                </w:p>
              </w:tc>
              <w:tc>
                <w:tcPr>
                  <w:tcW w:w="350" w:type="pct"/>
                  <w:vAlign w:val="top"/>
                </w:tcPr>
                <w:p>
                  <w:r>
                    <w:t xml:space="preserve">81.5</w:t>
                  </w:r>
                </w:p>
              </w:tc>
              <w:tc>
                <w:tcPr>
                  <w:tcW w:w="350" w:type="pct"/>
                  <w:vAlign w:val="top"/>
                </w:tcPr>
                <w:p>
                  <w:r>
                    <w:t xml:space="preserve">66.7</w:t>
                  </w:r>
                </w:p>
              </w:tc>
              <w:tc>
                <w:tcPr>
                  <w:tcW w:w="350" w:type="pct"/>
                  <w:vAlign w:val="top"/>
                </w:tcPr>
                <w:p>
                  <w:r>
                    <w:t xml:space="preserve">75.0</w:t>
                  </w:r>
                </w:p>
              </w:tc>
              <w:tc>
                <w:tcPr>
                  <w:tcW w:w="350" w:type="pct"/>
                  <w:vAlign w:val="top"/>
                </w:tcPr>
                <w:p>
                  <w:r>
                    <w:t xml:space="preserve">100.0</w:t>
                  </w:r>
                </w:p>
              </w:tc>
              <w:tc>
                <w:tcPr>
                  <w:tcW w:w="350" w:type="pct"/>
                  <w:vAlign w:val="top"/>
                </w:tcPr>
                <w:p>
                  <w:r>
                    <w:t xml:space="preserve">86.4</w:t>
                  </w:r>
                </w:p>
              </w:tc>
              <w:tc>
                <w:tcPr>
                  <w:tcW w:w="400" w:type="pct"/>
                  <w:vAlign w:val="top"/>
                </w:tcPr>
                <w:p>
                  <w:r>
                    <w:t xml:space="preserve">84.9</w:t>
                  </w:r>
                </w:p>
              </w:tc>
            </w:tr>
            <w:tr>
              <w:trPr/>
              <w:tc>
                <w:tcPr>
                  <w:tcW w:w="1650" w:type="pct"/>
                  <w:vAlign w:val="top"/>
                </w:tcPr>
                <w:p>
                  <w:r>
                    <w:t xml:space="preserve">Occupational therapists</w:t>
                  </w:r>
                </w:p>
              </w:tc>
              <w:tc>
                <w:tcPr>
                  <w:tcW w:w="350" w:type="pct"/>
                  <w:vAlign w:val="top"/>
                </w:tcPr>
                <w:p>
                  <w:r>
                    <w:t xml:space="preserve">91.8</w:t>
                  </w:r>
                </w:p>
              </w:tc>
              <w:tc>
                <w:tcPr>
                  <w:tcW w:w="350" w:type="pct"/>
                  <w:vAlign w:val="top"/>
                </w:tcPr>
                <w:p>
                  <w:r>
                    <w:t xml:space="preserve">92.0</w:t>
                  </w:r>
                </w:p>
              </w:tc>
              <w:tc>
                <w:tcPr>
                  <w:tcW w:w="350" w:type="pct"/>
                  <w:vAlign w:val="top"/>
                </w:tcPr>
                <w:p>
                  <w:r>
                    <w:t xml:space="preserve">91.2</w:t>
                  </w:r>
                </w:p>
              </w:tc>
              <w:tc>
                <w:tcPr>
                  <w:tcW w:w="350" w:type="pct"/>
                  <w:vAlign w:val="top"/>
                </w:tcPr>
                <w:p>
                  <w:r>
                    <w:t xml:space="preserve">90.3</w:t>
                  </w:r>
                </w:p>
              </w:tc>
              <w:tc>
                <w:tcPr>
                  <w:tcW w:w="350" w:type="pct"/>
                  <w:vAlign w:val="top"/>
                </w:tcPr>
                <w:p>
                  <w:r>
                    <w:t xml:space="preserve">89.3</w:t>
                  </w:r>
                </w:p>
              </w:tc>
              <w:tc>
                <w:tcPr>
                  <w:tcW w:w="350" w:type="pct"/>
                  <w:vAlign w:val="top"/>
                </w:tcPr>
                <w:p>
                  <w:r>
                    <w:t xml:space="preserve">94.9</w:t>
                  </w:r>
                </w:p>
              </w:tc>
              <w:tc>
                <w:tcPr>
                  <w:tcW w:w="350" w:type="pct"/>
                  <w:vAlign w:val="top"/>
                </w:tcPr>
                <w:p>
                  <w:r>
                    <w:t xml:space="preserve">96.2</w:t>
                  </w:r>
                </w:p>
              </w:tc>
              <w:tc>
                <w:tcPr>
                  <w:tcW w:w="350" w:type="pct"/>
                  <w:vAlign w:val="top"/>
                </w:tcPr>
                <w:p>
                  <w:r>
                    <w:t xml:space="preserve">93.5</w:t>
                  </w:r>
                </w:p>
              </w:tc>
              <w:tc>
                <w:tcPr>
                  <w:tcW w:w="400" w:type="pct"/>
                  <w:vAlign w:val="top"/>
                </w:tcPr>
                <w:p>
                  <w:r>
                    <w:t xml:space="preserve">91.4</w:t>
                  </w:r>
                </w:p>
              </w:tc>
            </w:tr>
            <w:tr>
              <w:trPr/>
              <w:tc>
                <w:tcPr>
                  <w:tcW w:w="1650" w:type="pct"/>
                  <w:vAlign w:val="top"/>
                </w:tcPr>
                <w:p>
                  <w:r>
                    <w:t xml:space="preserve">Medical radiation practitioners</w:t>
                  </w:r>
                </w:p>
              </w:tc>
              <w:tc>
                <w:tcPr>
                  <w:tcW w:w="350" w:type="pct"/>
                  <w:vAlign w:val="top"/>
                </w:tcPr>
                <w:p>
                  <w:r>
                    <w:t xml:space="preserve">93.6</w:t>
                  </w:r>
                </w:p>
              </w:tc>
              <w:tc>
                <w:tcPr>
                  <w:tcW w:w="350" w:type="pct"/>
                  <w:vAlign w:val="top"/>
                </w:tcPr>
                <w:p>
                  <w:r>
                    <w:t xml:space="preserve">93.1</w:t>
                  </w:r>
                </w:p>
              </w:tc>
              <w:tc>
                <w:tcPr>
                  <w:tcW w:w="350" w:type="pct"/>
                  <w:vAlign w:val="top"/>
                </w:tcPr>
                <w:p>
                  <w:r>
                    <w:t xml:space="preserve">92.8</w:t>
                  </w:r>
                </w:p>
              </w:tc>
              <w:tc>
                <w:tcPr>
                  <w:tcW w:w="350" w:type="pct"/>
                  <w:vAlign w:val="top"/>
                </w:tcPr>
                <w:p>
                  <w:r>
                    <w:t xml:space="preserve">89.7</w:t>
                  </w:r>
                </w:p>
              </w:tc>
              <w:tc>
                <w:tcPr>
                  <w:tcW w:w="350" w:type="pct"/>
                  <w:vAlign w:val="top"/>
                </w:tcPr>
                <w:p>
                  <w:r>
                    <w:t xml:space="preserve">87.3</w:t>
                  </w:r>
                </w:p>
              </w:tc>
              <w:tc>
                <w:tcPr>
                  <w:tcW w:w="350" w:type="pct"/>
                  <w:vAlign w:val="top"/>
                </w:tcPr>
                <w:p>
                  <w:r>
                    <w:t xml:space="preserve">93.4</w:t>
                  </w:r>
                </w:p>
              </w:tc>
              <w:tc>
                <w:tcPr>
                  <w:tcW w:w="350" w:type="pct"/>
                  <w:vAlign w:val="top"/>
                </w:tcPr>
                <w:p>
                  <w:r>
                    <w:t xml:space="preserve">96.3</w:t>
                  </w:r>
                </w:p>
              </w:tc>
              <w:tc>
                <w:tcPr>
                  <w:tcW w:w="350" w:type="pct"/>
                  <w:vAlign w:val="top"/>
                </w:tcPr>
                <w:p>
                  <w:r>
                    <w:t xml:space="preserve">93.3</w:t>
                  </w:r>
                </w:p>
              </w:tc>
              <w:tc>
                <w:tcPr>
                  <w:tcW w:w="400" w:type="pct"/>
                  <w:vAlign w:val="top"/>
                </w:tcPr>
                <w:p>
                  <w:r>
                    <w:t xml:space="preserve">92.3</w:t>
                  </w:r>
                </w:p>
              </w:tc>
            </w:tr>
            <w:tr>
              <w:trPr/>
              <w:tc>
                <w:tcPr>
                  <w:tcW w:w="1650" w:type="pct"/>
                  <w:vAlign w:val="top"/>
                </w:tcPr>
                <w:p>
                  <w:r>
                    <w:t xml:space="preserve">Chiropractors</w:t>
                  </w:r>
                </w:p>
              </w:tc>
              <w:tc>
                <w:tcPr>
                  <w:tcW w:w="350" w:type="pct"/>
                  <w:vAlign w:val="top"/>
                </w:tcPr>
                <w:p>
                  <w:r>
                    <w:t xml:space="preserve">93.8</w:t>
                  </w:r>
                </w:p>
              </w:tc>
              <w:tc>
                <w:tcPr>
                  <w:tcW w:w="350" w:type="pct"/>
                  <w:vAlign w:val="top"/>
                </w:tcPr>
                <w:p>
                  <w:r>
                    <w:t xml:space="preserve">92.3</w:t>
                  </w:r>
                </w:p>
              </w:tc>
              <w:tc>
                <w:tcPr>
                  <w:tcW w:w="350" w:type="pct"/>
                  <w:vAlign w:val="top"/>
                </w:tcPr>
                <w:p>
                  <w:r>
                    <w:t xml:space="preserve">94.8</w:t>
                  </w:r>
                </w:p>
              </w:tc>
              <w:tc>
                <w:tcPr>
                  <w:tcW w:w="350" w:type="pct"/>
                  <w:vAlign w:val="top"/>
                </w:tcPr>
                <w:p>
                  <w:r>
                    <w:t xml:space="preserve">95.9</w:t>
                  </w:r>
                </w:p>
              </w:tc>
              <w:tc>
                <w:tcPr>
                  <w:tcW w:w="350" w:type="pct"/>
                  <w:vAlign w:val="top"/>
                </w:tcPr>
                <w:p>
                  <w:r>
                    <w:t xml:space="preserve">90.9</w:t>
                  </w:r>
                </w:p>
              </w:tc>
              <w:tc>
                <w:tcPr>
                  <w:tcW w:w="350" w:type="pct"/>
                  <w:vAlign w:val="top"/>
                </w:tcPr>
                <w:p>
                  <w:r>
                    <w:t xml:space="preserve">96.1</w:t>
                  </w:r>
                </w:p>
              </w:tc>
              <w:tc>
                <w:tcPr>
                  <w:tcW w:w="350" w:type="pct"/>
                  <w:vAlign w:val="top"/>
                </w:tcPr>
                <w:p>
                  <w:r>
                    <w:t xml:space="preserve">100.0</w:t>
                  </w:r>
                </w:p>
              </w:tc>
              <w:tc>
                <w:tcPr>
                  <w:tcW w:w="350" w:type="pct"/>
                  <w:vAlign w:val="top"/>
                </w:tcPr>
                <w:p>
                  <w:r>
                    <w:t xml:space="preserve">96.8</w:t>
                  </w:r>
                </w:p>
              </w:tc>
              <w:tc>
                <w:tcPr>
                  <w:tcW w:w="400" w:type="pct"/>
                  <w:vAlign w:val="top"/>
                </w:tcPr>
                <w:p>
                  <w:r>
                    <w:t xml:space="preserve">93.3</w:t>
                  </w:r>
                </w:p>
              </w:tc>
            </w:tr>
            <w:tr>
              <w:trPr/>
              <w:tc>
                <w:tcPr>
                  <w:tcW w:w="1650" w:type="pct"/>
                  <w:vAlign w:val="top"/>
                </w:tcPr>
                <w:p>
                  <w:r>
                    <w:t xml:space="preserve">Optometrists</w:t>
                  </w:r>
                </w:p>
              </w:tc>
              <w:tc>
                <w:tcPr>
                  <w:tcW w:w="350" w:type="pct"/>
                  <w:vAlign w:val="top"/>
                </w:tcPr>
                <w:p>
                  <w:r>
                    <w:t xml:space="preserve">95.3</w:t>
                  </w:r>
                </w:p>
              </w:tc>
              <w:tc>
                <w:tcPr>
                  <w:tcW w:w="350" w:type="pct"/>
                  <w:vAlign w:val="top"/>
                </w:tcPr>
                <w:p>
                  <w:r>
                    <w:t xml:space="preserve">95.8</w:t>
                  </w:r>
                </w:p>
              </w:tc>
              <w:tc>
                <w:tcPr>
                  <w:tcW w:w="350" w:type="pct"/>
                  <w:vAlign w:val="top"/>
                </w:tcPr>
                <w:p>
                  <w:r>
                    <w:t xml:space="preserve">94.9</w:t>
                  </w:r>
                </w:p>
              </w:tc>
              <w:tc>
                <w:tcPr>
                  <w:tcW w:w="350" w:type="pct"/>
                  <w:vAlign w:val="top"/>
                </w:tcPr>
                <w:p>
                  <w:r>
                    <w:t xml:space="preserve">92.8</w:t>
                  </w:r>
                </w:p>
              </w:tc>
              <w:tc>
                <w:tcPr>
                  <w:tcW w:w="350" w:type="pct"/>
                  <w:vAlign w:val="top"/>
                </w:tcPr>
                <w:p>
                  <w:r>
                    <w:t xml:space="preserve">95.1</w:t>
                  </w:r>
                </w:p>
              </w:tc>
              <w:tc>
                <w:tcPr>
                  <w:tcW w:w="350" w:type="pct"/>
                  <w:vAlign w:val="top"/>
                </w:tcPr>
                <w:p>
                  <w:r>
                    <w:t xml:space="preserve">96.7</w:t>
                  </w:r>
                </w:p>
              </w:tc>
              <w:tc>
                <w:tcPr>
                  <w:tcW w:w="350" w:type="pct"/>
                  <w:vAlign w:val="top"/>
                </w:tcPr>
                <w:p>
                  <w:r>
                    <w:t xml:space="preserve">94.9</w:t>
                  </w:r>
                </w:p>
              </w:tc>
              <w:tc>
                <w:tcPr>
                  <w:tcW w:w="350" w:type="pct"/>
                  <w:vAlign w:val="top"/>
                </w:tcPr>
                <w:p>
                  <w:r>
                    <w:t xml:space="preserve">97.3</w:t>
                  </w:r>
                </w:p>
              </w:tc>
              <w:tc>
                <w:tcPr>
                  <w:tcW w:w="400" w:type="pct"/>
                  <w:vAlign w:val="top"/>
                </w:tcPr>
                <w:p>
                  <w:r>
                    <w:t xml:space="preserve">95.0</w:t>
                  </w:r>
                </w:p>
              </w:tc>
            </w:tr>
            <w:tr>
              <w:trPr/>
              <w:tc>
                <w:tcPr>
                  <w:tcW w:w="1650" w:type="pct"/>
                  <w:vAlign w:val="top"/>
                </w:tcPr>
                <w:p>
                  <w:r>
                    <w:t xml:space="preserve">Chinese medicine practitioners</w:t>
                  </w:r>
                </w:p>
              </w:tc>
              <w:tc>
                <w:tcPr>
                  <w:tcW w:w="350" w:type="pct"/>
                  <w:vAlign w:val="top"/>
                </w:tcPr>
                <w:p>
                  <w:r>
                    <w:t xml:space="preserve">91.4</w:t>
                  </w:r>
                </w:p>
              </w:tc>
              <w:tc>
                <w:tcPr>
                  <w:tcW w:w="350" w:type="pct"/>
                  <w:vAlign w:val="top"/>
                </w:tcPr>
                <w:p>
                  <w:r>
                    <w:t xml:space="preserve">90.9</w:t>
                  </w:r>
                </w:p>
              </w:tc>
              <w:tc>
                <w:tcPr>
                  <w:tcW w:w="350" w:type="pct"/>
                  <w:vAlign w:val="top"/>
                </w:tcPr>
                <w:p>
                  <w:r>
                    <w:t xml:space="preserve">90.9</w:t>
                  </w:r>
                </w:p>
              </w:tc>
              <w:tc>
                <w:tcPr>
                  <w:tcW w:w="350" w:type="pct"/>
                  <w:vAlign w:val="top"/>
                </w:tcPr>
                <w:p>
                  <w:r>
                    <w:t xml:space="preserve">92.4</w:t>
                  </w:r>
                </w:p>
              </w:tc>
              <w:tc>
                <w:tcPr>
                  <w:tcW w:w="350" w:type="pct"/>
                  <w:vAlign w:val="top"/>
                </w:tcPr>
                <w:p>
                  <w:r>
                    <w:t xml:space="preserve">92.0</w:t>
                  </w:r>
                </w:p>
              </w:tc>
              <w:tc>
                <w:tcPr>
                  <w:tcW w:w="350" w:type="pct"/>
                  <w:vAlign w:val="top"/>
                </w:tcPr>
                <w:p>
                  <w:r>
                    <w:t xml:space="preserve">96.7</w:t>
                  </w:r>
                </w:p>
              </w:tc>
              <w:tc>
                <w:tcPr>
                  <w:tcW w:w="350" w:type="pct"/>
                  <w:vAlign w:val="top"/>
                </w:tcPr>
                <w:p>
                  <w:r>
                    <w:t xml:space="preserve">93.8</w:t>
                  </w:r>
                </w:p>
              </w:tc>
              <w:tc>
                <w:tcPr>
                  <w:tcW w:w="350" w:type="pct"/>
                  <w:vAlign w:val="top"/>
                </w:tcPr>
                <w:p>
                  <w:r>
                    <w:t xml:space="preserve">89.9</w:t>
                  </w:r>
                </w:p>
              </w:tc>
              <w:tc>
                <w:tcPr>
                  <w:tcW w:w="400" w:type="pct"/>
                  <w:vAlign w:val="top"/>
                </w:tcPr>
                <w:p>
                  <w:r>
                    <w:t xml:space="preserve">91.1</w:t>
                  </w:r>
                </w:p>
              </w:tc>
            </w:tr>
            <w:tr>
              <w:trPr/>
              <w:tc>
                <w:tcPr>
                  <w:tcW w:w="1650" w:type="pct"/>
                  <w:vAlign w:val="top"/>
                </w:tcPr>
                <w:p>
                  <w:r>
                    <w:t xml:space="preserve">Podiatrists</w:t>
                  </w:r>
                </w:p>
              </w:tc>
              <w:tc>
                <w:tcPr>
                  <w:tcW w:w="350" w:type="pct"/>
                  <w:vAlign w:val="top"/>
                </w:tcPr>
                <w:p>
                  <w:r>
                    <w:t xml:space="preserve">92.7</w:t>
                  </w:r>
                </w:p>
              </w:tc>
              <w:tc>
                <w:tcPr>
                  <w:tcW w:w="350" w:type="pct"/>
                  <w:vAlign w:val="top"/>
                </w:tcPr>
                <w:p>
                  <w:r>
                    <w:t xml:space="preserve">89.7</w:t>
                  </w:r>
                </w:p>
              </w:tc>
              <w:tc>
                <w:tcPr>
                  <w:tcW w:w="350" w:type="pct"/>
                  <w:vAlign w:val="top"/>
                </w:tcPr>
                <w:p>
                  <w:r>
                    <w:t xml:space="preserve">91.1</w:t>
                  </w:r>
                </w:p>
              </w:tc>
              <w:tc>
                <w:tcPr>
                  <w:tcW w:w="350" w:type="pct"/>
                  <w:vAlign w:val="top"/>
                </w:tcPr>
                <w:p>
                  <w:r>
                    <w:t xml:space="preserve">91.2</w:t>
                  </w:r>
                </w:p>
              </w:tc>
              <w:tc>
                <w:tcPr>
                  <w:tcW w:w="350" w:type="pct"/>
                  <w:vAlign w:val="top"/>
                </w:tcPr>
                <w:p>
                  <w:r>
                    <w:t xml:space="preserve">88.3</w:t>
                  </w:r>
                </w:p>
              </w:tc>
              <w:tc>
                <w:tcPr>
                  <w:tcW w:w="350" w:type="pct"/>
                  <w:vAlign w:val="top"/>
                </w:tcPr>
                <w:p>
                  <w:r>
                    <w:t xml:space="preserve">97.8</w:t>
                  </w:r>
                </w:p>
              </w:tc>
              <w:tc>
                <w:tcPr>
                  <w:tcW w:w="350" w:type="pct"/>
                  <w:vAlign w:val="top"/>
                </w:tcPr>
                <w:p>
                  <w:r>
                    <w:t xml:space="preserve">90.9</w:t>
                  </w:r>
                </w:p>
              </w:tc>
              <w:tc>
                <w:tcPr>
                  <w:tcW w:w="350" w:type="pct"/>
                  <w:vAlign w:val="top"/>
                </w:tcPr>
                <w:p>
                  <w:r>
                    <w:t xml:space="preserve">90.0</w:t>
                  </w:r>
                </w:p>
              </w:tc>
              <w:tc>
                <w:tcPr>
                  <w:tcW w:w="400" w:type="pct"/>
                  <w:vAlign w:val="top"/>
                </w:tcPr>
                <w:p>
                  <w:r>
                    <w:t xml:space="preserve">90.9</w:t>
                  </w:r>
                </w:p>
              </w:tc>
            </w:tr>
            <w:tr>
              <w:trPr/>
              <w:tc>
                <w:tcPr>
                  <w:tcW w:w="1650" w:type="pct"/>
                  <w:vAlign w:val="top"/>
                </w:tcPr>
                <w:p>
                  <w:r>
                    <w:t xml:space="preserve">Osteopaths</w:t>
                  </w:r>
                </w:p>
              </w:tc>
              <w:tc>
                <w:tcPr>
                  <w:tcW w:w="350" w:type="pct"/>
                  <w:vAlign w:val="top"/>
                </w:tcPr>
                <w:p>
                  <w:r>
                    <w:t xml:space="preserve">91.7</w:t>
                  </w:r>
                </w:p>
              </w:tc>
              <w:tc>
                <w:tcPr>
                  <w:tcW w:w="350" w:type="pct"/>
                  <w:vAlign w:val="top"/>
                </w:tcPr>
                <w:p>
                  <w:r>
                    <w:t xml:space="preserve">89.9</w:t>
                  </w:r>
                </w:p>
              </w:tc>
              <w:tc>
                <w:tcPr>
                  <w:tcW w:w="350" w:type="pct"/>
                  <w:vAlign w:val="top"/>
                </w:tcPr>
                <w:p>
                  <w:r>
                    <w:t xml:space="preserve">91.5</w:t>
                  </w:r>
                </w:p>
              </w:tc>
              <w:tc>
                <w:tcPr>
                  <w:tcW w:w="350" w:type="pct"/>
                  <w:vAlign w:val="top"/>
                </w:tcPr>
                <w:p>
                  <w:r>
                    <w:t xml:space="preserve">85.7</w:t>
                  </w:r>
                </w:p>
              </w:tc>
              <w:tc>
                <w:tcPr>
                  <w:tcW w:w="350" w:type="pct"/>
                  <w:vAlign w:val="top"/>
                </w:tcPr>
                <w:p>
                  <w:r>
                    <w:t xml:space="preserve">93.4</w:t>
                  </w:r>
                </w:p>
              </w:tc>
              <w:tc>
                <w:tcPr>
                  <w:tcW w:w="350" w:type="pct"/>
                  <w:vAlign w:val="top"/>
                </w:tcPr>
                <w:p>
                  <w:r>
                    <w:t xml:space="preserve">88.6</w:t>
                  </w:r>
                </w:p>
              </w:tc>
              <w:tc>
                <w:tcPr>
                  <w:tcW w:w="350" w:type="pct"/>
                  <w:vAlign w:val="top"/>
                </w:tcPr>
                <w:p>
                  <w:r>
                    <w:t xml:space="preserve">100.0</w:t>
                  </w:r>
                </w:p>
              </w:tc>
              <w:tc>
                <w:tcPr>
                  <w:tcW w:w="350" w:type="pct"/>
                  <w:vAlign w:val="top"/>
                </w:tcPr>
                <w:p>
                  <w:r>
                    <w:t xml:space="preserve">91.2</w:t>
                  </w:r>
                </w:p>
              </w:tc>
              <w:tc>
                <w:tcPr>
                  <w:tcW w:w="400" w:type="pct"/>
                  <w:vAlign w:val="top"/>
                </w:tcPr>
                <w:p>
                  <w:r>
                    <w:t xml:space="preserve">90.6</w:t>
                  </w:r>
                </w:p>
              </w:tc>
            </w:tr>
            <w:tr>
              <w:trPr/>
              <w:tc>
                <w:tcPr>
                  <w:tcW w:w="1650" w:type="pct"/>
                  <w:vAlign w:val="top"/>
                </w:tcPr>
                <w:p>
                  <w:r>
                    <w:t xml:space="preserve">Aboriginal and Torres Strait Islander health practitioners</w:t>
                  </w:r>
                </w:p>
              </w:tc>
              <w:tc>
                <w:tcPr>
                  <w:tcW w:w="350" w:type="pct"/>
                  <w:vAlign w:val="top"/>
                </w:tcPr>
                <w:p>
                  <w:r>
                    <w:t xml:space="preserve">87.2</w:t>
                  </w:r>
                </w:p>
              </w:tc>
              <w:tc>
                <w:tcPr>
                  <w:tcW w:w="350" w:type="pct"/>
                  <w:vAlign w:val="top"/>
                </w:tcPr>
                <w:p>
                  <w:r>
                    <w:t xml:space="preserve">83.3</w:t>
                  </w:r>
                </w:p>
              </w:tc>
              <w:tc>
                <w:tcPr>
                  <w:tcW w:w="350" w:type="pct"/>
                  <w:vAlign w:val="top"/>
                </w:tcPr>
                <w:p>
                  <w:r>
                    <w:t xml:space="preserve">78.1</w:t>
                  </w:r>
                </w:p>
              </w:tc>
              <w:tc>
                <w:tcPr>
                  <w:tcW w:w="350" w:type="pct"/>
                  <w:vAlign w:val="top"/>
                </w:tcPr>
                <w:p>
                  <w:r>
                    <w:t xml:space="preserve">72.7</w:t>
                  </w:r>
                </w:p>
              </w:tc>
              <w:tc>
                <w:tcPr>
                  <w:tcW w:w="350" w:type="pct"/>
                  <w:vAlign w:val="top"/>
                </w:tcPr>
                <w:p>
                  <w:r>
                    <w:t xml:space="preserve">59.3</w:t>
                  </w:r>
                </w:p>
              </w:tc>
              <w:tc>
                <w:tcPr>
                  <w:tcW w:w="350" w:type="pct"/>
                  <w:vAlign w:val="top"/>
                </w:tcPr>
                <w:p>
                  <w:r>
                    <w:t xml:space="preserve">100.0</w:t>
                  </w:r>
                </w:p>
              </w:tc>
              <w:tc>
                <w:tcPr>
                  <w:tcW w:w="350" w:type="pct"/>
                  <w:vAlign w:val="top"/>
                </w:tcPr>
                <w:p>
                  <w:r>
                    <w:t xml:space="preserve">85.1</w:t>
                  </w:r>
                </w:p>
              </w:tc>
              <w:tc>
                <w:tcPr>
                  <w:tcW w:w="350" w:type="pct"/>
                  <w:vAlign w:val="top"/>
                </w:tcPr>
                <w:p>
                  <w:r>
                    <w:t xml:space="preserve">100.0</w:t>
                  </w:r>
                </w:p>
              </w:tc>
              <w:tc>
                <w:tcPr>
                  <w:tcW w:w="400" w:type="pct"/>
                  <w:vAlign w:val="top"/>
                </w:tcPr>
                <w:p>
                  <w:r>
                    <w:t xml:space="preserve">82.0</w:t>
                  </w:r>
                </w:p>
              </w:tc>
            </w:tr>
          </w:tbl>
          <w:p>
            <w:r>
              <w:t xml:space="preserve">(a) Excludes provisional registrant (affecting Medical radiation practitioners, Osteopaths, Occupational therapists, Pharmacists and Psychologists).</w:t>
            </w:r>
          </w:p>
          <w:p>
            <w:r>
              <w:t xml:space="preserve">(b) Includes health workers who did not state or adequately describe their state or territory, and those who were overseas.</w:t>
            </w:r>
          </w:p>
          <w:p>
            <w:r>
              <w:rPr>
                <w:i/>
                <w:color w:val="000000"/>
              </w:rPr>
              <w:t xml:space="preserve">Source:</w:t>
            </w:r>
            <w:r>
              <w:rPr>
                <w:color w:val="000000"/>
              </w:rPr>
              <w:t xml:space="preserve"> AIHW NHWDS 2014.</w:t>
            </w:r>
          </w:p>
          <w:p>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p>
          <w:p>
            <w:r>
              <w:rPr>
                <w:i/>
              </w:rPr>
              <w:t xml:space="preserve">Estimation procedures </w:t>
            </w:r>
          </w:p>
          <w:p>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p>
          <w:p>
            <w:pPr>
              <w:pStyle w:val="ListParagraph"/>
              <w:numPr>
                <w:ilvl w:val="0"/>
                <w:numId w:val="3"/>
              </w:numPr>
            </w:pPr>
            <w: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t xml:space="preserve">survey non-response—occurs because not all registered medical practitioners who receive a questionnaire respond.</w:t>
            </w:r>
          </w:p>
          <w:p>
            <w:r>
              <w:t xml:space="preserve">Imputation methods are used account for item non-response and survey non-response.</w:t>
            </w:r>
          </w:p>
          <w:p>
            <w:r>
              <w:rPr>
                <w:i/>
              </w:rPr>
              <w:t xml:space="preserve">Imputation: estimation for item non-response</w:t>
            </w:r>
          </w:p>
          <w:p>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r>
              <w:t xml:space="preserve">Missing values remaining after this process are considered for their suitability for further imputation. Suitability is based on the level of non-response to that item.</w:t>
            </w:r>
          </w:p>
          <w:p>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rPr>
                <w:i/>
              </w:rPr>
              <w:t xml:space="preserve">Imputation: estimation for population non-response</w:t>
            </w:r>
          </w:p>
          <w:p>
            <w:r>
              <w:t xml:space="preserve">In 2013, the methodology for population non-response was changed from a weighting-based methodology to a hot deck-based imputation, similar to that used for imputing unreported hours in previous years.</w:t>
            </w:r>
          </w:p>
          <w:p>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p>
          <w:p>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in more detail.</w:t>
            </w:r>
          </w:p>
          <w:p>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p>
          <w:p>
            <w:pPr>
              <w:spacing w:after="160"/>
            </w:pP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p>
          <w:p>
            <w:pPr>
              <w:spacing w:after="160"/>
            </w:pP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was also caused largely by a rewording of the survey form from and “Clinician” in 2012 to “Direct Client Services Role” in 2013, resulting in fewer respondents selecting ‘Other’.</w:t>
            </w:r>
          </w:p>
          <w:p>
            <w:pPr>
              <w:spacing w:after="160"/>
            </w:pPr>
            <w:r>
              <w:rPr>
                <w:rStyle w:val="row-content-rich-text"/>
              </w:rPr>
              <w:t xml:space="preserve">Similarly the hours related questions for psychologists were affected by changing from specifying “Clinical roles” in 2013 to “Direct Client Services Role” in 2013, resulting in higher numbers of hours reported in a  Direct Client Services Role rather than in a Clinical role, which consequently affected hours reported in the public and private sector split.</w:t>
            </w:r>
          </w:p>
          <w:p>
            <w:pPr>
              <w:spacing w:after="160"/>
            </w:pP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section for more detail.</w:t>
            </w:r>
          </w:p>
          <w:p>
            <w:pPr>
              <w:spacing w:after="160"/>
            </w:pP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 and later years.</w:t>
            </w:r>
          </w:p>
          <w:p>
            <w:pP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w:t>
            </w:r>
            <w:hyperlink w:history="true" r:id="Re02a10a6289446c0">
              <w:r>
                <w:rPr>
                  <w:rStyle w:val="Hyperlink"/>
                </w:rPr>
                <w:t xml:space="preserve">Dental workforce 2012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28c75d614f68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c0dcf4f4a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75d614f6848fe" /><Relationship Type="http://schemas.openxmlformats.org/officeDocument/2006/relationships/header" Target="/word/header1.xml" Id="R6b0b90a3b2444bb6" /><Relationship Type="http://schemas.openxmlformats.org/officeDocument/2006/relationships/settings" Target="/word/settings.xml" Id="Recfd7d490b374640" /><Relationship Type="http://schemas.openxmlformats.org/officeDocument/2006/relationships/styles" Target="/word/styles.xml" Id="R9a959e74369f482d" /><Relationship Type="http://schemas.openxmlformats.org/officeDocument/2006/relationships/numbering" Target="/word/numbering.xml" Id="Re796c48f720c49cb" /><Relationship Type="http://schemas.openxmlformats.org/officeDocument/2006/relationships/hyperlink" Target="https://meteor-uat.aihw.gov.au/RegistrationAuthority/8" TargetMode="External" Id="R372570c7acda47ff" /><Relationship Type="http://schemas.openxmlformats.org/officeDocument/2006/relationships/hyperlink" Target="http://www.atsihealthpracticeboard.gov.au/Codes-Guidelines/FAQ/Registration-and-how-to-apply.aspx" TargetMode="External" Id="R072ed07240fb41b7" /><Relationship Type="http://schemas.openxmlformats.org/officeDocument/2006/relationships/hyperlink" Target="http://www.ahpra.gov.au/" TargetMode="External" Id="R17b874eb38614f0b" /><Relationship Type="http://schemas.openxmlformats.org/officeDocument/2006/relationships/hyperlink" Target="http://www.aihw.gov.au/workforce" TargetMode="External" Id="R11cd0640d2334b49" /><Relationship Type="http://schemas.openxmlformats.org/officeDocument/2006/relationships/hyperlink" Target="http://www.aihw.gov.au/" TargetMode="External" Id="R62b3b63810a140e1" /><Relationship Type="http://schemas.openxmlformats.org/officeDocument/2006/relationships/hyperlink" Target="http://www.aihw.gov.au/workforce " TargetMode="External" Id="R517894c6d94846cc" /><Relationship Type="http://schemas.openxmlformats.org/officeDocument/2006/relationships/hyperlink" Target="mailto:info@aihw.gov.au" TargetMode="External" Id="Rfbc40d1cc3014bcc" /><Relationship Type="http://schemas.openxmlformats.org/officeDocument/2006/relationships/hyperlink" Target="http://www.aihw.gov.au/publication-detail/?id=60129545961" TargetMode="External" Id="Re02a10a6289446c0" /></Relationships>
</file>

<file path=word/_rels/header1.xml.rels>&#65279;<?xml version="1.0" encoding="utf-8"?><Relationships xmlns="http://schemas.openxmlformats.org/package/2006/relationships"><Relationship Type="http://schemas.openxmlformats.org/officeDocument/2006/relationships/image" Target="/media/image.png" Id="R11dc0dcf4f4a4981" /></Relationships>
</file>