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b07aa1c0364034" /></Relationships>
</file>

<file path=word/document.xml><?xml version="1.0" encoding="utf-8"?>
<w:document xmlns:r="http://schemas.openxmlformats.org/officeDocument/2006/relationships" xmlns:w="http://schemas.openxmlformats.org/wordprocessingml/2006/main">
  <w:body>
    <w:p>
      <w:pPr>
        <w:pStyle w:val="Title"/>
      </w:pPr>
      <w:r>
        <w:t>Service type outlet—service activity type, NDA service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outlet—service activity type, NDA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type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abc2cdd5de4ea9">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activity that the service type outlet has been funded to provide under the National Disability Agreement,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62df4ee39543e7">
              <w:r>
                <w:rPr>
                  <w:rStyle w:val="Hyperlink"/>
                </w:rPr>
                <w:t xml:space="preserve">Service type outlet—service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94633c09de46f6">
              <w:r>
                <w:rPr>
                  <w:rStyle w:val="Hyperlink"/>
                </w:rPr>
                <w:t xml:space="preserve">NDA  service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Accommodation support (codes 1.01–1.08)</w:t>
            </w:r>
          </w:p>
          <w:p>
            <w:pPr>
              <w:spacing w:after="160"/>
            </w:pPr>
            <w:r>
              <w:rPr>
                <w:rStyle w:val="row-content-rich-text"/>
              </w:rPr>
              <w:t xml:space="preserve">Services that provide accommodation to people with disability and services that provide support needed to enable a person with disability to remain in their existing accommodation or to move to more suitable or appropriate accommodation.</w:t>
            </w:r>
          </w:p>
          <w:p>
            <w:pPr>
              <w:spacing w:after="160"/>
            </w:pPr>
            <w:r>
              <w:rPr>
                <w:rStyle w:val="row-content-rich-text"/>
                <w:b/>
                <w:i/>
              </w:rPr>
              <w:t xml:space="preserve">1.01 Large residentials/institutions (&gt;20 places) </w:t>
            </w:r>
          </w:p>
          <w:p>
            <w:pPr>
              <w:spacing w:after="160"/>
            </w:pPr>
            <w:r>
              <w:rPr>
                <w:rStyle w:val="row-content-rich-text"/>
              </w:rPr>
              <w:t xml:space="preserve">Large residentials/institutions are usually located on large parcels of land and provide 24-hour residential support in a congregate setting of more than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1.02 Small residentials/institutions (7–20 places) </w:t>
            </w:r>
          </w:p>
          <w:p>
            <w:pPr>
              <w:spacing w:after="160"/>
            </w:pPr>
            <w:r>
              <w:rPr>
                <w:rStyle w:val="row-content-rich-text"/>
              </w:rPr>
              <w:t xml:space="preserve">Small residentials/institutions are usually located on large parcels of land and provide 24-hour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1.03 Hostels </w:t>
            </w:r>
          </w:p>
          <w:p>
            <w:pPr>
              <w:spacing w:after="160"/>
            </w:pPr>
            <w:r>
              <w:rPr>
                <w:rStyle w:val="row-content-rich-text"/>
              </w:rPr>
              <w:t xml:space="preserve">Hostels provide residential support in a congregate setting of usually less than 20 beds, and may or may not provide 24-hour residential support. Many are situated in an institutional setting and also have respite beds included on the premises. In contrast to residentials/institutions (1.01 and 1.02), hostels usually do not provide segregated specialist disability support services. (Where this is the case, each additional service type should be funded and/or reported against under the DS NMDS as a separate service type outlet.)</w:t>
            </w:r>
          </w:p>
          <w:p>
            <w:pPr>
              <w:spacing w:after="160"/>
            </w:pPr>
            <w:r>
              <w:rPr>
                <w:rStyle w:val="row-content-rich-text"/>
                <w:b/>
                <w:i/>
              </w:rPr>
              <w:t xml:space="preserve">1.04 Group homes (usually &lt;7 places) </w:t>
            </w:r>
          </w:p>
          <w:p>
            <w:pPr>
              <w:spacing w:after="160"/>
            </w:pPr>
            <w:r>
              <w:rPr>
                <w:rStyle w:val="row-content-rich-text"/>
              </w:rPr>
              <w:t xml:space="preserve">Group homes generally provide combined accommodation and community-based residential support to people in a residential setting. Usually no more than 6 service users are located in any one house, although this can vary. Group homes are generally staffed 24 hours a day. The agency being funded to provide the service should generally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b/>
                <w:i/>
              </w:rPr>
              <w:t xml:space="preserve">1.05 Attendant care/personal care </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live on their own.</w:t>
            </w:r>
          </w:p>
          <w:p>
            <w:pPr>
              <w:spacing w:after="160"/>
            </w:pPr>
            <w:r>
              <w:rPr>
                <w:rStyle w:val="row-content-rich-text"/>
                <w:b/>
                <w:i/>
              </w:rPr>
              <w:t xml:space="preserve">1.06 In-home accommodation support </w:t>
            </w:r>
          </w:p>
          <w:p>
            <w:pPr>
              <w:spacing w:after="160"/>
            </w:pPr>
            <w:r>
              <w:rPr>
                <w:rStyle w:val="row-content-rich-text"/>
              </w:rPr>
              <w:t xml:space="preserve">Support involves individual in-home living support and/or developmental programming services for people with disability, supplied independently of accommodation. The accommodation may be owned, rented, or otherwise provided, but should be independent of the agency providing the in-home support service, otherwise see code 1.04 ‘group homes’. Where an in-home accommodation support service also provides some other limited assistance, for example help with banking once a week or short-term respite for family members, then in-home accommodation should be recorded, as it is the primary focus of the support provided.</w:t>
            </w:r>
          </w:p>
          <w:p>
            <w:pPr>
              <w:spacing w:after="160"/>
            </w:pPr>
            <w:r>
              <w:rPr>
                <w:rStyle w:val="row-content-rich-text"/>
                <w:b/>
                <w:i/>
              </w:rPr>
              <w:t xml:space="preserve">1.07 Alternative family placement </w:t>
            </w:r>
          </w:p>
          <w:p>
            <w:pPr>
              <w:spacing w:after="160"/>
            </w:pPr>
            <w:r>
              <w:rPr>
                <w:rStyle w:val="row-content-rich-text"/>
              </w:rPr>
              <w:t xml:space="preserve">Placements of a person with disability with an alternative family who will provide care and support. Includes shared-care arrangements and host family placements.</w:t>
            </w:r>
          </w:p>
          <w:p>
            <w:pPr>
              <w:spacing w:after="160"/>
            </w:pPr>
            <w:r>
              <w:rPr>
                <w:rStyle w:val="row-content-rich-text"/>
                <w:b/>
                <w:i/>
              </w:rPr>
              <w:t xml:space="preserve">1.08 Other accommodation support </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rPr>
              <w:t xml:space="preserve"> </w:t>
            </w:r>
          </w:p>
          <w:p>
            <w:pPr>
              <w:spacing w:after="160"/>
            </w:pPr>
            <w:r>
              <w:rPr>
                <w:rStyle w:val="row-content-rich-text"/>
                <w:b/>
              </w:rPr>
              <w:t xml:space="preserve">Community support (codes 2.01–2.07)</w:t>
            </w:r>
          </w:p>
          <w:p>
            <w:pPr>
              <w:spacing w:after="160"/>
            </w:pPr>
            <w:r>
              <w:rPr>
                <w:rStyle w:val="row-content-rich-text"/>
              </w:rPr>
              <w:t xml:space="preserve">Services that provide the support needed for a person with disability to live in a non-institutional setting. Support with the basic needs of living such as meal preparation, dressing, transferring etc. are included under accommodation support.</w:t>
            </w:r>
          </w:p>
          <w:p>
            <w:pPr>
              <w:spacing w:after="160"/>
            </w:pPr>
            <w:r>
              <w:rPr>
                <w:rStyle w:val="row-content-rich-text"/>
                <w:b/>
                <w:i/>
              </w:rPr>
              <w:t xml:space="preserve">2.01 Therapy support for individuals</w:t>
            </w:r>
          </w:p>
          <w:p>
            <w:pPr>
              <w:spacing w:after="160"/>
            </w:pPr>
            <w:r>
              <w:rPr>
                <w:rStyle w:val="row-content-rich-text"/>
              </w:rPr>
              <w:t xml:space="preserve">Specialised, therapeutic care services including occupational therapy, physiotherapy and speech therapy.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b/>
                <w:i/>
              </w:rPr>
              <w:t xml:space="preserve">2.02 Early childhood intervention</w:t>
            </w:r>
          </w:p>
          <w:p>
            <w:pPr>
              <w:spacing w:after="160"/>
            </w:pPr>
            <w:r>
              <w:rPr>
                <w:rStyle w:val="row-content-rich-text"/>
              </w:rPr>
              <w:t xml:space="preserve">Support services to assist children up to (but not including) 6 years of age with a developmental delay to integrate with peers into pre-schools and the wider community. This includes the full range of services that the child receives.</w:t>
            </w:r>
          </w:p>
          <w:p>
            <w:pPr>
              <w:spacing w:after="160"/>
            </w:pPr>
            <w:r>
              <w:rPr>
                <w:rStyle w:val="row-content-rich-text"/>
                <w:b/>
                <w:i/>
              </w:rPr>
              <w:t xml:space="preserve">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b/>
                <w:i/>
              </w:rPr>
              <w:t xml:space="preserve">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b/>
                <w:i/>
              </w:rPr>
              <w:t xml:space="preserve">2.05 Regional resource and support teams </w:t>
            </w:r>
          </w:p>
          <w:p>
            <w:pPr>
              <w:spacing w:after="160"/>
            </w:pPr>
            <w:r>
              <w:rPr>
                <w:rStyle w:val="row-content-rich-text"/>
              </w:rPr>
              <w:t xml:space="preserve">Regional resource and support teams are generally inter 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b/>
                <w:i/>
              </w:rPr>
              <w:t xml:space="preserve">2.06 Case management, local coordination and development </w:t>
            </w:r>
          </w:p>
          <w:p>
            <w:pPr>
              <w:spacing w:after="160"/>
            </w:pPr>
            <w:r>
              <w:rPr>
                <w:rStyle w:val="row-content-rich-text"/>
              </w:rPr>
              <w:t xml:space="preserve">This is a broad service type category, including elements of individual or family-focused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 If the service provided is community development only (i.e. the service is not working with an individual), then it should be classified under ‘other community support’ (2.07).</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b/>
                <w:i/>
              </w:rPr>
              <w:t xml:space="preserve">2.07 Other community support</w:t>
            </w:r>
          </w:p>
          <w:p>
            <w:pPr>
              <w:spacing w:after="160"/>
            </w:pPr>
            <w:r>
              <w:rPr>
                <w:rStyle w:val="row-content-rich-text"/>
              </w:rPr>
              <w:t xml:space="preserve">Community support services other than those outlined above (i.e. other than 2.01–2.06). If community development is provided as part of working with an individual, then the service should be classified under service type 2.06 (Case management, local coordination and development).</w:t>
            </w:r>
          </w:p>
          <w:p>
            <w:pPr>
              <w:spacing w:after="160"/>
            </w:pPr>
            <w:r>
              <w:rPr>
                <w:rStyle w:val="row-content-rich-text"/>
                <w:b/>
              </w:rPr>
              <w:t xml:space="preserve"> </w:t>
            </w:r>
          </w:p>
          <w:p>
            <w:pPr>
              <w:spacing w:after="160"/>
            </w:pPr>
            <w:r>
              <w:rPr>
                <w:rStyle w:val="row-content-rich-text"/>
                <w:b/>
              </w:rPr>
              <w:t xml:space="preserve">Community access (codes 3.10–3.03)</w:t>
            </w:r>
          </w:p>
          <w:p>
            <w:pPr>
              <w:spacing w:after="160"/>
            </w:pPr>
            <w:r>
              <w:rPr>
                <w:rStyle w:val="row-content-rich-text"/>
                <w:b/>
              </w:rPr>
              <w:t xml:space="preserve">Services designed to provide opportunities for people with disability to gain and use their abilities to enjoy their full potential for social independence. </w:t>
            </w:r>
          </w:p>
          <w:p>
            <w:pPr>
              <w:spacing w:after="160"/>
            </w:pPr>
            <w:r>
              <w:rPr>
                <w:rStyle w:val="row-content-rich-text"/>
                <w:b/>
              </w:rPr>
              <w:t xml:space="preserve">People who do not attend school, or who are not employed full-time mainly use these services.</w:t>
            </w:r>
          </w:p>
          <w:p>
            <w:pPr>
              <w:spacing w:after="160"/>
            </w:pPr>
            <w:r>
              <w:rPr>
                <w:rStyle w:val="row-content-rich-text"/>
                <w:b/>
              </w:rPr>
              <w:t xml:space="preserve">The key features are that the services:</w:t>
            </w:r>
          </w:p>
          <w:p>
            <w:pPr>
              <w:pStyle w:val="ListParagraph"/>
              <w:numPr>
                <w:ilvl w:val="0"/>
                <w:numId w:val="3"/>
              </w:numPr>
            </w:pPr>
            <w:r>
              <w:rPr>
                <w:rStyle w:val="row-content-rich-text"/>
                <w:b/>
              </w:rPr>
              <w:t xml:space="preserve">are flexible and responsive to personal needs and interests</w:t>
            </w:r>
          </w:p>
          <w:p>
            <w:pPr>
              <w:pStyle w:val="ListParagraph"/>
              <w:numPr>
                <w:ilvl w:val="0"/>
                <w:numId w:val="3"/>
              </w:numPr>
            </w:pPr>
            <w:r>
              <w:rPr>
                <w:rStyle w:val="row-content-rich-text"/>
                <w:b/>
              </w:rPr>
              <w:t xml:space="preserve">range from educational to leisure and recreational pursuits</w:t>
            </w:r>
          </w:p>
          <w:p>
            <w:pPr>
              <w:pStyle w:val="ListParagraph"/>
              <w:numPr>
                <w:ilvl w:val="0"/>
                <w:numId w:val="3"/>
              </w:numPr>
            </w:pPr>
            <w:r>
              <w:rPr>
                <w:rStyle w:val="row-content-rich-text"/>
                <w:b/>
              </w:rPr>
              <w:t xml:space="preserve">range from facility- to home-based activities</w:t>
            </w:r>
          </w:p>
          <w:p>
            <w:pPr>
              <w:pStyle w:val="ListParagraph"/>
              <w:numPr>
                <w:ilvl w:val="0"/>
                <w:numId w:val="3"/>
              </w:numPr>
            </w:pPr>
            <w:r>
              <w:rPr>
                <w:rStyle w:val="row-content-rich-text"/>
                <w:b/>
              </w:rPr>
              <w:t xml:space="preserve">include supervision and physical care, and models which link people into activities which are offered to the whole community</w:t>
            </w:r>
          </w:p>
          <w:p>
            <w:pPr>
              <w:pStyle w:val="ListParagraph"/>
              <w:numPr>
                <w:ilvl w:val="0"/>
                <w:numId w:val="3"/>
              </w:numPr>
            </w:pPr>
            <w:r>
              <w:rPr>
                <w:rStyle w:val="row-content-rich-text"/>
                <w:b/>
              </w:rPr>
              <w:t xml:space="preserve">range from long-term day support to time-limited and goal-oriented education that maximises personal independent functioning and may complement other community services.</w:t>
            </w:r>
          </w:p>
          <w:p>
            <w:pPr>
              <w:spacing w:after="160"/>
            </w:pPr>
            <w:r>
              <w:rPr>
                <w:rStyle w:val="row-content-rich-text"/>
                <w:b/>
                <w:i/>
              </w:rPr>
              <w:t xml:space="preserve">3.01 Learning and life skills development </w:t>
            </w:r>
          </w:p>
          <w:p>
            <w:pPr>
              <w:spacing w:after="160"/>
            </w:pPr>
            <w:r>
              <w:rPr>
                <w:rStyle w:val="row-content-rich-text"/>
                <w:b/>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 Activities under service type 3.01 (learning and life skills development) may include:</w:t>
            </w:r>
          </w:p>
          <w:p>
            <w:pPr>
              <w:pStyle w:val="ListParagraph"/>
              <w:numPr>
                <w:ilvl w:val="0"/>
                <w:numId w:val="4"/>
              </w:numPr>
            </w:pPr>
            <w:r>
              <w:rPr>
                <w:rStyle w:val="row-content-rich-text"/>
                <w:b/>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b/>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b/>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b/>
              </w:rPr>
              <w:t xml:space="preserve">participating in volunteer programs such as helping at the RSPCA or landscaping and gardening programs</w:t>
            </w:r>
          </w:p>
          <w:p>
            <w:pPr>
              <w:pStyle w:val="ListParagraph"/>
              <w:numPr>
                <w:ilvl w:val="0"/>
                <w:numId w:val="4"/>
              </w:numPr>
            </w:pPr>
            <w:r>
              <w:rPr>
                <w:rStyle w:val="row-content-rich-text"/>
                <w:b/>
              </w:rPr>
              <w:t xml:space="preserve">attending social clubs, e.g. book, music or sporting clubs</w:t>
            </w:r>
          </w:p>
          <w:p>
            <w:pPr>
              <w:pStyle w:val="ListParagraph"/>
              <w:numPr>
                <w:ilvl w:val="0"/>
                <w:numId w:val="4"/>
              </w:numPr>
            </w:pPr>
            <w:r>
              <w:rPr>
                <w:rStyle w:val="row-content-rich-text"/>
                <w:b/>
              </w:rPr>
              <w:t xml:space="preserve">going on shopping trips or eating out in various venues from food halls to restaurants.</w:t>
            </w:r>
          </w:p>
          <w:p>
            <w:pPr>
              <w:spacing w:after="160"/>
            </w:pPr>
            <w:r>
              <w:rPr>
                <w:rStyle w:val="row-content-rich-text"/>
                <w:b/>
                <w:i/>
              </w:rPr>
              <w:t xml:space="preserve">3.02 Recreation/holiday programs </w:t>
            </w:r>
          </w:p>
          <w:p>
            <w:pPr>
              <w:spacing w:after="160"/>
            </w:pPr>
            <w:r>
              <w:rPr>
                <w:rStyle w:val="row-content-rich-text"/>
                <w:b/>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 </w:t>
            </w:r>
          </w:p>
          <w:p>
            <w:pPr>
              <w:spacing w:after="160"/>
            </w:pPr>
            <w:r>
              <w:rPr>
                <w:rStyle w:val="row-content-rich-text"/>
                <w:b/>
                <w:i/>
              </w:rPr>
              <w:t xml:space="preserve">3.03 Other community access </w:t>
            </w:r>
          </w:p>
          <w:p>
            <w:pPr>
              <w:spacing w:after="160"/>
            </w:pPr>
            <w:r>
              <w:rPr>
                <w:rStyle w:val="row-content-rich-text"/>
                <w:b/>
              </w:rPr>
              <w:t xml:space="preserve">Community access services other than those outlined above (i.e. other than 3.01–3.02). For example, services offering activities designed to improve service users’ physical, cognitive and perceptual abilities; encourage self-esteem growth; and provide opportunities to socialise. This service should only be recorded where services 3.01 and 3.02 are not suitable. </w:t>
            </w:r>
          </w:p>
          <w:p>
            <w:pPr>
              <w:spacing w:after="160"/>
            </w:pPr>
            <w:r>
              <w:rPr>
                <w:rStyle w:val="row-content-rich-text"/>
                <w:b/>
              </w:rPr>
              <w:t xml:space="preserve"> </w:t>
            </w:r>
          </w:p>
          <w:p>
            <w:pPr>
              <w:spacing w:after="160"/>
            </w:pPr>
            <w:r>
              <w:rPr>
                <w:rStyle w:val="row-content-rich-text"/>
                <w:b/>
              </w:rPr>
              <w:t xml:space="preserve">Respite (codes 4.01–4.05)</w:t>
            </w:r>
          </w:p>
          <w:p>
            <w:pPr>
              <w:spacing w:after="160"/>
            </w:pPr>
            <w:r>
              <w:rPr>
                <w:rStyle w:val="row-content-rich-text"/>
                <w:b/>
              </w:rPr>
              <w:t xml:space="preserve">Respite services provide a short-term and time-limited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b/>
                <w:i/>
              </w:rPr>
              <w:t xml:space="preserve">4.01 Own home respite </w:t>
            </w:r>
          </w:p>
          <w:p>
            <w:pPr>
              <w:spacing w:after="160"/>
            </w:pPr>
            <w:r>
              <w:rPr>
                <w:rStyle w:val="row-content-rich-text"/>
                <w:b/>
              </w:rPr>
              <w:t xml:space="preserve">Respite care provided in the individual’s own home location.</w:t>
            </w:r>
          </w:p>
          <w:p>
            <w:pPr>
              <w:spacing w:after="160"/>
            </w:pPr>
            <w:r>
              <w:rPr>
                <w:rStyle w:val="row-content-rich-text"/>
                <w:b/>
                <w:i/>
              </w:rPr>
              <w:t xml:space="preserve">4.02 Centre-based respite/respite homes </w:t>
            </w:r>
          </w:p>
          <w:p>
            <w:pPr>
              <w:spacing w:after="160"/>
            </w:pPr>
            <w:r>
              <w:rPr>
                <w:rStyle w:val="row-content-rich-text"/>
                <w:b/>
              </w:rPr>
              <w:t xml:space="preserve">Respite care provided in community setting similar to a ‘group home’ structure and respite care provided in other centre-based settings. This service type includes respite care provided in any of the accommodation settings 1.01–1.04. </w:t>
            </w:r>
          </w:p>
          <w:p>
            <w:pPr>
              <w:spacing w:after="160"/>
            </w:pPr>
            <w:r>
              <w:rPr>
                <w:rStyle w:val="row-content-rich-text"/>
                <w:b/>
                <w:i/>
              </w:rPr>
              <w:t xml:space="preserve">4.03 Host family respite/peer support respite </w:t>
            </w:r>
          </w:p>
          <w:p>
            <w:pPr>
              <w:spacing w:after="160"/>
            </w:pPr>
            <w:r>
              <w:rPr>
                <w:rStyle w:val="row-content-rich-text"/>
                <w:b/>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 </w:t>
            </w:r>
          </w:p>
          <w:p>
            <w:pPr>
              <w:spacing w:after="160"/>
            </w:pPr>
            <w:r>
              <w:rPr>
                <w:rStyle w:val="row-content-rich-text"/>
                <w:b/>
                <w:i/>
              </w:rPr>
              <w:t xml:space="preserve">4.04 Flexible respite</w:t>
            </w:r>
          </w:p>
          <w:p>
            <w:pPr>
              <w:spacing w:after="160"/>
            </w:pPr>
            <w:r>
              <w:rPr>
                <w:rStyle w:val="row-content-rich-text"/>
                <w:b/>
              </w:rPr>
              <w:t xml:space="preserve">Respite services that offer any combination of own home and host family/peer support respite (service types 4.01 and 4.03).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 Outlets providing centre-based respite services should be recorded separately under service type 4.02 and not under this service type.</w:t>
            </w:r>
          </w:p>
          <w:p>
            <w:pPr>
              <w:spacing w:after="160"/>
            </w:pPr>
            <w:r>
              <w:rPr>
                <w:rStyle w:val="row-content-rich-text"/>
                <w:b/>
                <w:i/>
              </w:rPr>
              <w:t xml:space="preserve">4.05 Other respite </w:t>
            </w:r>
          </w:p>
          <w:p>
            <w:pPr>
              <w:spacing w:after="160"/>
            </w:pPr>
            <w:r>
              <w:rPr>
                <w:rStyle w:val="row-content-rich-text"/>
                <w:b/>
              </w:rPr>
              <w:t xml:space="preserve">Respite services other than those outlined above (i.e. other than 4.01–4.04), including:</w:t>
            </w:r>
          </w:p>
          <w:p>
            <w:pPr>
              <w:pStyle w:val="ListParagraph"/>
              <w:numPr>
                <w:ilvl w:val="0"/>
                <w:numId w:val="5"/>
              </w:numPr>
            </w:pPr>
            <w:r>
              <w:rPr>
                <w:rStyle w:val="row-content-rich-text"/>
                <w:b/>
              </w:rPr>
              <w:t xml:space="preserve">crisis respite</w:t>
            </w:r>
          </w:p>
          <w:p>
            <w:pPr>
              <w:pStyle w:val="ListParagraph"/>
              <w:numPr>
                <w:ilvl w:val="0"/>
                <w:numId w:val="5"/>
              </w:numPr>
            </w:pPr>
            <w:r>
              <w:rPr>
                <w:rStyle w:val="row-content-rich-text"/>
                <w:b/>
              </w:rPr>
              <w:t xml:space="preserve">holidays for the person with disability where the primary intention of the service is to provide respite support (rather than primarily a holiday experience) and the service user is generally separated from their usual support arrangements, e.g. family. </w:t>
            </w:r>
          </w:p>
          <w:p>
            <w:pPr>
              <w:spacing w:after="160"/>
            </w:pPr>
            <w:r>
              <w:rPr>
                <w:rStyle w:val="row-content-rich-text"/>
                <w:b/>
              </w:rPr>
              <w:t xml:space="preserve"> </w:t>
            </w:r>
          </w:p>
          <w:p>
            <w:pPr>
              <w:spacing w:after="160"/>
            </w:pPr>
            <w:r>
              <w:rPr>
                <w:rStyle w:val="row-content-rich-text"/>
                <w:b/>
              </w:rPr>
              <w:t xml:space="preserve">Employment (codes 5.01–5.02)</w:t>
            </w:r>
          </w:p>
          <w:p>
            <w:pPr>
              <w:spacing w:after="160"/>
            </w:pPr>
            <w:r>
              <w:rPr>
                <w:rStyle w:val="row-content-rich-text"/>
                <w:b/>
                <w:i/>
              </w:rPr>
              <w:t xml:space="preserve">5.01 Open employment </w:t>
            </w:r>
          </w:p>
          <w:p>
            <w:pPr>
              <w:spacing w:after="160"/>
            </w:pPr>
            <w:r>
              <w:rPr>
                <w:rStyle w:val="row-content-rich-text"/>
                <w:b/>
              </w:rPr>
              <w:t xml:space="preserve">Services that provide employment assistance to people with disability in obtaining and/or retaining paid employment in the open labour market.</w:t>
            </w:r>
          </w:p>
          <w:p>
            <w:pPr>
              <w:spacing w:after="160"/>
            </w:pPr>
            <w:r>
              <w:rPr>
                <w:rStyle w:val="row-content-rich-text"/>
                <w:b/>
                <w:i/>
              </w:rPr>
              <w:t xml:space="preserve">5.02 Supported employment </w:t>
            </w:r>
          </w:p>
          <w:p>
            <w:pPr>
              <w:spacing w:after="160"/>
            </w:pPr>
            <w:r>
              <w:rPr>
                <w:rStyle w:val="row-content-rich-text"/>
                <w:b/>
              </w:rPr>
              <w:t xml:space="preserve">Services that provide employment opportunities and assistance to people with disability to work in specialised and supported work environments.</w:t>
            </w:r>
          </w:p>
          <w:p>
            <w:pPr>
              <w:spacing w:after="160"/>
            </w:pPr>
            <w:r>
              <w:rPr>
                <w:rStyle w:val="row-content-rich-text"/>
                <w:b/>
              </w:rPr>
              <w:t xml:space="preserve"> </w:t>
            </w:r>
          </w:p>
          <w:p>
            <w:pPr>
              <w:spacing w:after="160"/>
            </w:pPr>
            <w:r>
              <w:rPr>
                <w:rStyle w:val="row-content-rich-text"/>
                <w:b/>
              </w:rPr>
              <w:t xml:space="preserve">Advocacy, information and alternative forms of communication (codes 6.01–6.05)</w:t>
            </w:r>
          </w:p>
          <w:p>
            <w:pPr>
              <w:spacing w:after="160"/>
            </w:pPr>
            <w:r>
              <w:rPr>
                <w:rStyle w:val="row-content-rich-text"/>
                <w:b/>
                <w:i/>
              </w:rPr>
              <w:t xml:space="preserve">6.01 Advocacy </w:t>
            </w:r>
          </w:p>
          <w:p>
            <w:pPr>
              <w:spacing w:after="160"/>
            </w:pPr>
            <w:r>
              <w:rPr>
                <w:rStyle w:val="row-content-rich-text"/>
                <w:b/>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b/>
              </w:rPr>
              <w:t xml:space="preserve">self advocacy/individual advocacy</w:t>
            </w:r>
          </w:p>
          <w:p>
            <w:pPr>
              <w:pStyle w:val="ListParagraph"/>
              <w:numPr>
                <w:ilvl w:val="0"/>
                <w:numId w:val="6"/>
              </w:numPr>
            </w:pPr>
            <w:r>
              <w:rPr>
                <w:rStyle w:val="row-content-rich-text"/>
                <w:b/>
              </w:rPr>
              <w:t xml:space="preserve">citizen advocacy</w:t>
            </w:r>
          </w:p>
          <w:p>
            <w:pPr>
              <w:pStyle w:val="ListParagraph"/>
              <w:numPr>
                <w:ilvl w:val="0"/>
                <w:numId w:val="6"/>
              </w:numPr>
            </w:pPr>
            <w:r>
              <w:rPr>
                <w:rStyle w:val="row-content-rich-text"/>
                <w:b/>
              </w:rPr>
              <w:t xml:space="preserve">group advocacy</w:t>
            </w:r>
          </w:p>
          <w:p>
            <w:pPr>
              <w:pStyle w:val="ListParagraph"/>
              <w:numPr>
                <w:ilvl w:val="0"/>
                <w:numId w:val="6"/>
              </w:numPr>
            </w:pPr>
            <w:r>
              <w:rPr>
                <w:rStyle w:val="row-content-rich-text"/>
                <w:b/>
              </w:rPr>
              <w:t xml:space="preserve">system/systematic advocacy</w:t>
            </w:r>
          </w:p>
          <w:p>
            <w:pPr>
              <w:spacing w:after="160"/>
            </w:pPr>
            <w:r>
              <w:rPr>
                <w:rStyle w:val="row-content-rich-text"/>
                <w:b/>
                <w:i/>
              </w:rPr>
              <w:t xml:space="preserve">6.02 Information/referral </w:t>
            </w:r>
          </w:p>
          <w:p>
            <w:pPr>
              <w:spacing w:after="160"/>
            </w:pPr>
            <w:r>
              <w:rPr>
                <w:rStyle w:val="row-content-rich-text"/>
                <w:b/>
              </w:rPr>
              <w:t xml:space="preserve">Information services provide accessible information to people with disability, their carers,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 </w:t>
            </w:r>
          </w:p>
          <w:p>
            <w:pPr>
              <w:spacing w:after="160"/>
            </w:pPr>
            <w:r>
              <w:rPr>
                <w:rStyle w:val="row-content-rich-text"/>
                <w:b/>
                <w:i/>
              </w:rPr>
              <w:t xml:space="preserve">6.03 Combined information/advocacy </w:t>
            </w:r>
          </w:p>
          <w:p>
            <w:pPr>
              <w:spacing w:after="160"/>
            </w:pPr>
            <w:r>
              <w:rPr>
                <w:rStyle w:val="row-content-rich-text"/>
                <w:b/>
              </w:rPr>
              <w:t xml:space="preserve">Services that offer both information and advocacy services to individuals where these two components cannot reasonably be separated.</w:t>
            </w:r>
          </w:p>
          <w:p>
            <w:pPr>
              <w:spacing w:after="160"/>
            </w:pPr>
            <w:r>
              <w:rPr>
                <w:rStyle w:val="row-content-rich-text"/>
                <w:b/>
                <w:i/>
              </w:rPr>
              <w:t xml:space="preserve">6.04 Mutual support/self-help groups </w:t>
            </w:r>
          </w:p>
          <w:p>
            <w:pPr>
              <w:spacing w:after="160"/>
            </w:pPr>
            <w:r>
              <w:rPr>
                <w:rStyle w:val="row-content-rich-text"/>
                <w:b/>
              </w:rPr>
              <w:t xml:space="preserve">Focus, or special interest groups to provide support and assistance for people with disability, their families and carers. These groups promote self advocacy through the provision of information, support and assistance. </w:t>
            </w:r>
          </w:p>
          <w:p>
            <w:pPr>
              <w:spacing w:after="160"/>
            </w:pPr>
            <w:r>
              <w:rPr>
                <w:rStyle w:val="row-content-rich-text"/>
                <w:b/>
                <w:i/>
              </w:rPr>
              <w:t xml:space="preserve">6.05 Alternative formats of communication </w:t>
            </w:r>
          </w:p>
          <w:p>
            <w:pPr>
              <w:spacing w:after="160"/>
            </w:pPr>
            <w:r>
              <w:rPr>
                <w:rStyle w:val="row-content-rich-text"/>
                <w:b/>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 </w:t>
            </w:r>
          </w:p>
          <w:p>
            <w:pPr>
              <w:spacing w:after="160"/>
            </w:pPr>
            <w:r>
              <w:rPr>
                <w:rStyle w:val="row-content-rich-text"/>
                <w:b/>
              </w:rPr>
              <w:t xml:space="preserve">Other support (codes 7.01–7.04)</w:t>
            </w:r>
          </w:p>
          <w:p>
            <w:pPr>
              <w:spacing w:after="160"/>
            </w:pPr>
            <w:r>
              <w:rPr>
                <w:rStyle w:val="row-content-rich-text"/>
                <w:b/>
                <w:i/>
              </w:rPr>
              <w:t xml:space="preserve">7.01 Research and evaluation </w:t>
            </w:r>
          </w:p>
          <w:p>
            <w:pPr>
              <w:spacing w:after="160"/>
            </w:pPr>
            <w:r>
              <w:rPr>
                <w:rStyle w:val="row-content-rich-text"/>
                <w:b/>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b/>
                <w:i/>
              </w:rPr>
              <w:t xml:space="preserve">7.02 Training and development </w:t>
            </w:r>
          </w:p>
          <w:p>
            <w:pPr>
              <w:spacing w:after="160"/>
            </w:pPr>
            <w:r>
              <w:rPr>
                <w:rStyle w:val="row-content-rich-text"/>
                <w:b/>
              </w:rPr>
              <w:t xml:space="preserve">Training and development services may be funded, for example, to train disability-funded agencies to deliver higher quality or more appropriate services to people with disability or develop materials or methods that promote service system improvements.</w:t>
            </w:r>
          </w:p>
          <w:p>
            <w:pPr>
              <w:spacing w:after="160"/>
            </w:pPr>
            <w:r>
              <w:rPr>
                <w:rStyle w:val="row-content-rich-text"/>
                <w:b/>
                <w:i/>
              </w:rPr>
              <w:t xml:space="preserve">7.03 Peak bodies </w:t>
            </w:r>
          </w:p>
          <w:p>
            <w:pPr>
              <w:spacing w:after="160"/>
            </w:pPr>
            <w:r>
              <w:rPr>
                <w:rStyle w:val="row-content-rich-text"/>
                <w:b/>
              </w:rPr>
              <w:t xml:space="preserve">Peak bodies are generally funded to support non-government disability funded-agencies in achieving positive outcomes for people with disability.</w:t>
            </w:r>
          </w:p>
          <w:p>
            <w:pPr>
              <w:spacing w:after="160"/>
            </w:pPr>
            <w:r>
              <w:rPr>
                <w:rStyle w:val="row-content-rich-text"/>
                <w:b/>
                <w:i/>
              </w:rPr>
              <w:t xml:space="preserve">7.04 Other support services </w:t>
            </w:r>
          </w:p>
          <w:p>
            <w:pPr/>
            <w:r>
              <w:rPr>
                <w:rStyle w:val="row-content-rich-text"/>
                <w:b/>
              </w:rPr>
              <w:t xml:space="preserve">Services that are completely outside any of the defined service types above (that is, outside service types, 1.01–1.08, 2.01–2.07, 3.01–3.03, 4.01–4.05, 5.01–5.02, 5.04,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353669443247ee">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State/Territory agencies should not use codes 5.01 or 5.02: they are employment-specific codes and these services are funded by the Australian Government.</w:t>
            </w:r>
          </w:p>
          <w:p>
            <w:pPr>
              <w:spacing w:after="160"/>
            </w:pPr>
            <w:r>
              <w:rPr>
                <w:rStyle w:val="row-content-rich-text"/>
              </w:rPr>
              <w:t xml:space="preserve">If it is difficult to differentiate between service types 1.04 'group homes (&lt;7 places)' and 1.06 'in-home accommodation support', then do so on the basis of what is the main purpose of the service, that is, whether the service is being provided as a place to live (1.04) or to help someone live independently (1.06). Another consideration is the transportability of a service. If the service user can continue to use the service at a new residence, then the service type is 1.06. If the service is attached to the current residence and therefore cannot be used at a new residence, then the service type is 1.04.</w:t>
            </w:r>
          </w:p>
          <w:p>
            <w:pPr>
              <w:spacing w:after="160"/>
            </w:pPr>
            <w:r>
              <w:rPr>
                <w:rStyle w:val="row-content-rich-text"/>
              </w:rPr>
              <w:t xml:space="preserve"> </w:t>
            </w:r>
          </w:p>
          <w:p>
            <w:pPr>
              <w:spacing w:after="160"/>
            </w:pPr>
            <w:r>
              <w:rPr>
                <w:rStyle w:val="row-content-rich-text"/>
              </w:rPr>
              <w:t xml:space="preserve">For service type 2.06 'case management, local coordination and development', funded agencies are not expected to complete Service User Details in relation to the local development or coordination activities that do not relate to particular service users. (In some jurisdictions, further details of these activities may be requested outside the DS NMDS.)</w:t>
            </w:r>
          </w:p>
          <w:p>
            <w:pPr>
              <w:spacing w:after="160"/>
            </w:pPr>
            <w:r>
              <w:rPr>
                <w:rStyle w:val="row-content-rich-text"/>
              </w:rPr>
              <w:t xml:space="preserve"> </w:t>
            </w:r>
          </w:p>
          <w:p>
            <w:pPr/>
            <w:r>
              <w:rPr>
                <w:rStyle w:val="row-content-rich-text"/>
              </w:rPr>
              <w:t xml:space="preserve">Service type 2.06 'case management, local coordination and development' may include brokerage activities. For DS NMDS purposes, service user details should be recorded for all people receiving brokerage services. The details about brokerage services received should relate only to the provision of the actual 'brokerage' as a service type, and not to the other service types that are purchased using brokerage funds. In some jurisdictions, details of the services purchased via brokerage may be requested in addition to DS NMDS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by funding departments in relation to all service type outlets, in order to describe the outlet. Service type outlets should verify - and correct where necessary - the service type classification that the funding department has assigned to their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output data by service type is essential, for example, to describe the types of services being received by different groups of service users and in different geographic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c1f57d6be344ee">
              <w:r>
                <w:rPr>
                  <w:rStyle w:val="Hyperlink"/>
                </w:rPr>
                <w:t xml:space="preserve">Service type outlet—service activity type, NDA support service type code N.NN</w:t>
              </w:r>
            </w:hyperlink>
          </w:p>
          <w:p>
            <w:pPr>
              <w:pStyle w:val="registration-status"/>
              <w:spacing w:before="0" w:after="0"/>
            </w:pPr>
            <w:hyperlink w:history="true" r:id="Rc4aaa3e15f74497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72d9e85dacd46a8">
              <w:r>
                <w:rPr>
                  <w:rStyle w:val="Hyperlink"/>
                  <w:color w:val="244061"/>
                </w:rPr>
                <w:t xml:space="preserve">Disability</w:t>
              </w:r>
            </w:hyperlink>
            <w:r>
              <w:rPr>
                <w:rStyle w:val="row-content"/>
                <w:color w:val="244061"/>
              </w:rPr>
              <w:t xml:space="preserve">, Superseded 13/08/2015</w:t>
            </w:r>
          </w:p>
          <w:p>
            <w:r>
              <w:br/>
            </w:r>
            <w:r>
              <w:rPr>
                <w:rStyle w:val="row-content"/>
              </w:rPr>
              <w:t xml:space="preserve">Has been superseded by </w:t>
            </w:r>
            <w:hyperlink w:history="true" r:id="R700028ba57964047">
              <w:r>
                <w:rPr>
                  <w:rStyle w:val="Hyperlink"/>
                </w:rPr>
                <w:t xml:space="preserve">Service type outlet—service activity type, NDA service type code N.NN</w:t>
              </w:r>
            </w:hyperlink>
          </w:p>
          <w:p>
            <w:pPr>
              <w:pStyle w:val="registration-status"/>
              <w:spacing w:before="0" w:after="0"/>
            </w:pPr>
            <w:hyperlink w:history="true" r:id="R9335c3e09bb34797">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0b20394c504c51">
              <w:r>
                <w:rPr>
                  <w:rStyle w:val="Hyperlink"/>
                </w:rPr>
                <w:t xml:space="preserve">Disability services provider details cluster</w:t>
              </w:r>
            </w:hyperlink>
          </w:p>
          <w:p>
            <w:pPr>
              <w:pStyle w:val="registration-status"/>
              <w:spacing w:before="0" w:after="0"/>
            </w:pPr>
            <w:hyperlink w:history="true" r:id="Ra18c9896c55c4d16">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cca21b9cef2a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613272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2360c3349c4f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a21b9cef2a4b5f" /><Relationship Type="http://schemas.openxmlformats.org/officeDocument/2006/relationships/header" Target="/word/header1.xml" Id="R6cf56aef76e24e8a" /><Relationship Type="http://schemas.openxmlformats.org/officeDocument/2006/relationships/settings" Target="/word/settings.xml" Id="R5595198d26db4f65" /><Relationship Type="http://schemas.openxmlformats.org/officeDocument/2006/relationships/styles" Target="/word/styles.xml" Id="Rc209d18c86c94718" /><Relationship Type="http://schemas.openxmlformats.org/officeDocument/2006/relationships/numbering" Target="/word/numbering.xml" Id="Rc5e95ea29dd242e1" /><Relationship Type="http://schemas.openxmlformats.org/officeDocument/2006/relationships/hyperlink" Target="https://meteor-uat.aihw.gov.au/RegistrationAuthority/18" TargetMode="External" Id="Rdcabc2cdd5de4ea9" /><Relationship Type="http://schemas.openxmlformats.org/officeDocument/2006/relationships/hyperlink" Target="https://meteor-uat.aihw.gov.au/content/613277" TargetMode="External" Id="R7762df4ee39543e7" /><Relationship Type="http://schemas.openxmlformats.org/officeDocument/2006/relationships/hyperlink" Target="https://meteor-uat.aihw.gov.au/content/500901" TargetMode="External" Id="Rc394633c09de46f6" /><Relationship Type="http://schemas.openxmlformats.org/officeDocument/2006/relationships/hyperlink" Target="https://meteor-uat.aihw.gov.au/content/367581" TargetMode="External" Id="R4e353669443247ee" /><Relationship Type="http://schemas.openxmlformats.org/officeDocument/2006/relationships/hyperlink" Target="https://meteor-uat.aihw.gov.au/content/497714" TargetMode="External" Id="R70c1f57d6be344ee" /><Relationship Type="http://schemas.openxmlformats.org/officeDocument/2006/relationships/hyperlink" Target="https://meteor-uat.aihw.gov.au/RegistrationAuthority/3" TargetMode="External" Id="Rc4aaa3e15f744973" /><Relationship Type="http://schemas.openxmlformats.org/officeDocument/2006/relationships/hyperlink" Target="https://meteor-uat.aihw.gov.au/RegistrationAuthority/18" TargetMode="External" Id="R672d9e85dacd46a8" /><Relationship Type="http://schemas.openxmlformats.org/officeDocument/2006/relationships/hyperlink" Target="https://meteor-uat.aihw.gov.au/content/623523" TargetMode="External" Id="R700028ba57964047" /><Relationship Type="http://schemas.openxmlformats.org/officeDocument/2006/relationships/hyperlink" Target="https://meteor-uat.aihw.gov.au/RegistrationAuthority/18" TargetMode="External" Id="R9335c3e09bb34797" /><Relationship Type="http://schemas.openxmlformats.org/officeDocument/2006/relationships/hyperlink" Target="https://meteor-uat.aihw.gov.au/content/617065" TargetMode="External" Id="R850b20394c504c51" /><Relationship Type="http://schemas.openxmlformats.org/officeDocument/2006/relationships/hyperlink" Target="https://meteor-uat.aihw.gov.au/RegistrationAuthority/18" TargetMode="External" Id="Ra18c9896c55c4d16" /></Relationships>
</file>

<file path=word/_rels/header1.xml.rels>&#65279;<?xml version="1.0" encoding="utf-8"?><Relationships xmlns="http://schemas.openxmlformats.org/package/2006/relationships"><Relationship Type="http://schemas.openxmlformats.org/officeDocument/2006/relationships/image" Target="/media/image.png" Id="Red2360c3349c4f41" /></Relationships>
</file>